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仿宋" w:cs="Times New Roman"/>
          <w:color w:val="000000" w:themeColor="text1"/>
          <w:sz w:val="32"/>
          <w:szCs w:val="40"/>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32"/>
          <w:szCs w:val="40"/>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32"/>
          <w:szCs w:val="40"/>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32"/>
          <w:szCs w:val="40"/>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r>
        <w:rPr>
          <w:rFonts w:hint="default" w:ascii="Times New Roman" w:hAnsi="Times New Roman" w:eastAsia="仿宋" w:cs="Times New Roman"/>
          <w:color w:val="000000" w:themeColor="text1"/>
          <w:sz w:val="40"/>
          <w:szCs w:val="48"/>
          <w:lang w:val="en-US" w:eastAsia="zh-CN"/>
          <w14:textFill>
            <w14:solidFill>
              <w14:schemeClr w14:val="tx1"/>
            </w14:solidFill>
          </w14:textFill>
        </w:rPr>
        <w:t>企业年度环境信息依法披露报告</w:t>
      </w: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2"/>
        <w:gridCol w:w="4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lang w:val="en-US" w:eastAsia="zh-CN"/>
                <w14:textFill>
                  <w14:solidFill>
                    <w14:schemeClr w14:val="tx1"/>
                  </w14:solidFill>
                </w14:textFill>
              </w:rPr>
              <w:t>企业名称</w:t>
            </w:r>
          </w:p>
        </w:tc>
        <w:tc>
          <w:tcPr>
            <w:tcW w:w="2921"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8"/>
                <w:szCs w:val="28"/>
                <w:vertAlign w:val="baseline"/>
                <w:lang w:val="en-US" w:eastAsia="zh-CN"/>
                <w14:textFill>
                  <w14:solidFill>
                    <w14:schemeClr w14:val="tx1"/>
                  </w14:solidFill>
                </w14:textFill>
              </w:rPr>
              <w:t>皖南医学院第二附属医院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lang w:val="en-US" w:eastAsia="zh-CN"/>
                <w14:textFill>
                  <w14:solidFill>
                    <w14:schemeClr w14:val="tx1"/>
                  </w14:solidFill>
                </w14:textFill>
              </w:rPr>
              <w:t>统一社会信用代码</w:t>
            </w:r>
          </w:p>
        </w:tc>
        <w:tc>
          <w:tcPr>
            <w:tcW w:w="2921"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8"/>
                <w:szCs w:val="28"/>
                <w:vertAlign w:val="baseline"/>
                <w:lang w:val="en-US" w:eastAsia="zh-CN"/>
                <w14:textFill>
                  <w14:solidFill>
                    <w14:schemeClr w14:val="tx1"/>
                  </w14:solidFill>
                </w14:textFill>
              </w:rPr>
              <w:t>12340000486288226D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t>报告年度</w:t>
            </w:r>
          </w:p>
        </w:tc>
        <w:tc>
          <w:tcPr>
            <w:tcW w:w="2921"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t>2021年度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t>编制日期</w:t>
            </w:r>
          </w:p>
        </w:tc>
        <w:tc>
          <w:tcPr>
            <w:tcW w:w="2921" w:type="pct"/>
          </w:tcPr>
          <w:p>
            <w:pPr>
              <w:jc w:val="cente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t>2022年</w:t>
            </w:r>
            <w:r>
              <w:rPr>
                <w:rFonts w:hint="eastAsia" w:ascii="Times New Roman" w:hAnsi="Times New Roman" w:eastAsia="仿宋" w:cs="Times New Roman"/>
                <w:color w:val="000000" w:themeColor="text1"/>
                <w:sz w:val="28"/>
                <w:szCs w:val="28"/>
                <w:vertAlign w:val="baseline"/>
                <w:lang w:val="en-US" w:eastAsia="zh-CN"/>
                <w14:textFill>
                  <w14:solidFill>
                    <w14:schemeClr w14:val="tx1"/>
                  </w14:solidFill>
                </w14:textFill>
              </w:rPr>
              <w:t>4</w:t>
            </w:r>
            <w:r>
              <w:rPr>
                <w:rFonts w:hint="default" w:ascii="Times New Roman" w:hAnsi="Times New Roman" w:eastAsia="仿宋" w:cs="Times New Roman"/>
                <w:color w:val="000000" w:themeColor="text1"/>
                <w:sz w:val="28"/>
                <w:szCs w:val="28"/>
                <w:vertAlign w:val="baseline"/>
                <w:lang w:val="en-US" w:eastAsia="zh-CN"/>
                <w14:textFill>
                  <w14:solidFill>
                    <w14:schemeClr w14:val="tx1"/>
                  </w14:solidFill>
                </w14:textFill>
              </w:rPr>
              <w:t>月10日</w:t>
            </w:r>
          </w:p>
        </w:tc>
      </w:tr>
    </w:tbl>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default" w:ascii="Times New Roman" w:hAnsi="Times New Roman" w:eastAsia="仿宋" w:cs="Times New Roman"/>
          <w:color w:val="000000" w:themeColor="text1"/>
          <w:sz w:val="40"/>
          <w:szCs w:val="48"/>
          <w:lang w:val="en-US" w:eastAsia="zh-CN"/>
          <w14:textFill>
            <w14:solidFill>
              <w14:schemeClr w14:val="tx1"/>
            </w14:solidFill>
          </w14:textFill>
        </w:rPr>
      </w:pPr>
      <w:r>
        <w:rPr>
          <w:rFonts w:hint="default" w:ascii="Times New Roman" w:hAnsi="Times New Roman" w:eastAsia="仿宋" w:cs="Times New Roman"/>
          <w:color w:val="000000" w:themeColor="text1"/>
          <w:sz w:val="40"/>
          <w:szCs w:val="48"/>
          <w:lang w:val="en-US" w:eastAsia="zh-CN"/>
          <w14:textFill>
            <w14:solidFill>
              <w14:schemeClr w14:val="tx1"/>
            </w14:solidFill>
          </w14:textFill>
        </w:rPr>
        <w:t>承诺书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我单位已了解《企业环境信息依法披露管理办法》及其他相关文件规定，知晓本单位的责任、权利和义务。依法披露环境信息所使用的相关数据及表述符合环境监测、环境统计等方面的标准和技术规范要求，年度报告内容真实、准确、完整，不存在虚假记载、误导性陈述或重大遗漏，对所披露的完整性、真实性和合法性承担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当要求披露的企业环境信息发生变化时，我单位将积极组织信息数据收集、核实及报告编制，及时完成临时环境信息依法披露。如发现我单位依法披露的环境信息不符合准则要求，我单位承诺责成企业内部环境管理部门专业技术人员予以及时解答说明并客观核实回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我单位将自觉接受生态环境主管部门监管和社会公众监督，如有违法违规行为，将积极配合调查，并依法接受处罚。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特此承诺。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单位名称：</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皖南医学院第二附属医院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2022年4月10日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t>一、企业基本信息</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0"/>
        <w:gridCol w:w="2350"/>
        <w:gridCol w:w="2225"/>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单位名称</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皖南医学院第二附属医院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地址</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安徽省芜湖市</w:t>
            </w: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镜湖区康复路123号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统一社会信用代码</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12340000486288226D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经营范围</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医疗与护理，医学教学，医学研究，预防，保健，康复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法人代表</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黄后宝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行业类别</w:t>
            </w: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综合医院</w:t>
            </w:r>
          </w:p>
        </w:tc>
        <w:tc>
          <w:tcPr>
            <w:tcW w:w="2225"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企业性质</w:t>
            </w:r>
          </w:p>
        </w:tc>
        <w:tc>
          <w:tcPr>
            <w:tcW w:w="16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主要产品</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产业政策</w:t>
            </w:r>
          </w:p>
        </w:tc>
        <w:tc>
          <w:tcPr>
            <w:tcW w:w="6192" w:type="dxa"/>
            <w:gridSpan w:val="3"/>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企业环保联系人</w:t>
            </w: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王俊青</w:t>
            </w:r>
          </w:p>
        </w:tc>
        <w:tc>
          <w:tcPr>
            <w:tcW w:w="2225"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联系电话</w:t>
            </w:r>
          </w:p>
        </w:tc>
        <w:tc>
          <w:tcPr>
            <w:tcW w:w="16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18298260186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重点排污单位</w:t>
            </w: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是</w:t>
            </w:r>
          </w:p>
        </w:tc>
        <w:tc>
          <w:tcPr>
            <w:tcW w:w="2225"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强制清洁生产审核</w:t>
            </w:r>
          </w:p>
        </w:tc>
        <w:tc>
          <w:tcPr>
            <w:tcW w:w="16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否</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1988"/>
        <w:gridCol w:w="6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restart"/>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排污许可证</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证书编号</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12340000486288226D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continue"/>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许可信息公开</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drawing>
                <wp:inline distT="0" distB="0" distL="114300" distR="114300">
                  <wp:extent cx="914400" cy="899160"/>
                  <wp:effectExtent l="0" t="0" r="0" b="0"/>
                  <wp:docPr id="1" name="图片 1" descr="1652225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2225518(1)"/>
                          <pic:cNvPicPr>
                            <a:picLocks noChangeAspect="1"/>
                          </pic:cNvPicPr>
                        </pic:nvPicPr>
                        <pic:blipFill>
                          <a:blip r:embed="rId4"/>
                          <a:stretch>
                            <a:fillRect/>
                          </a:stretch>
                        </pic:blipFill>
                        <pic:spPr>
                          <a:xfrm>
                            <a:off x="0" y="0"/>
                            <a:ext cx="914400" cy="89916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continue"/>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公开网址</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http://permit.mee.gov.cn/perxxgkinfo/xkgkAction!xkgk.action?xkgk=getxxgkContent&amp;dataid=c4c45c44e3074897a60abfcd464118e2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continue"/>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主要污染类别</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i w:val="0"/>
                <w:iCs w:val="0"/>
                <w:caps w:val="0"/>
                <w:color w:val="000000" w:themeColor="text1"/>
                <w:spacing w:val="0"/>
                <w:sz w:val="21"/>
                <w:szCs w:val="21"/>
                <w:shd w:val="clear" w:fill="FFFFFF"/>
                <w:lang w:val="en-US" w:eastAsia="zh-CN"/>
                <w14:textFill>
                  <w14:solidFill>
                    <w14:schemeClr w14:val="tx1"/>
                  </w14:solidFill>
                </w14:textFill>
              </w:rPr>
            </w:pPr>
            <w:r>
              <w:rPr>
                <w:rFonts w:hint="default" w:ascii="Times New Roman" w:hAnsi="Times New Roman" w:eastAsia="仿宋" w:cs="Times New Roman"/>
                <w:i w:val="0"/>
                <w:iCs w:val="0"/>
                <w:caps w:val="0"/>
                <w:color w:val="000000" w:themeColor="text1"/>
                <w:spacing w:val="0"/>
                <w:sz w:val="21"/>
                <w:szCs w:val="21"/>
                <w:shd w:val="clear" w:fill="FFFFFF"/>
                <w14:textFill>
                  <w14:solidFill>
                    <w14:schemeClr w14:val="tx1"/>
                  </w14:solidFill>
                </w14:textFill>
              </w:rPr>
              <w:t>废气</w:t>
            </w:r>
            <w:r>
              <w:rPr>
                <w:rFonts w:hint="eastAsia" w:ascii="Times New Roman" w:hAnsi="Times New Roman" w:eastAsia="仿宋" w:cs="Times New Roman"/>
                <w:i w:val="0"/>
                <w:iCs w:val="0"/>
                <w:caps w:val="0"/>
                <w:color w:val="000000" w:themeColor="text1"/>
                <w:spacing w:val="0"/>
                <w:sz w:val="21"/>
                <w:szCs w:val="21"/>
                <w:shd w:val="clear" w:fill="FFFFFF"/>
                <w:lang w:eastAsia="zh-CN"/>
                <w14:textFill>
                  <w14:solidFill>
                    <w14:schemeClr w14:val="tx1"/>
                  </w14:solidFill>
                </w14:textFill>
              </w:rPr>
              <w:t>，</w:t>
            </w:r>
            <w:r>
              <w:rPr>
                <w:rFonts w:hint="default" w:ascii="Times New Roman" w:hAnsi="Times New Roman" w:eastAsia="仿宋" w:cs="Times New Roman"/>
                <w:i w:val="0"/>
                <w:iCs w:val="0"/>
                <w:caps w:val="0"/>
                <w:color w:val="000000" w:themeColor="text1"/>
                <w:spacing w:val="0"/>
                <w:sz w:val="21"/>
                <w:szCs w:val="21"/>
                <w:shd w:val="clear" w:fill="FFFFFF"/>
                <w14:textFill>
                  <w14:solidFill>
                    <w14:schemeClr w14:val="tx1"/>
                  </w14:solidFill>
                </w14:textFill>
              </w:rPr>
              <w:t>废水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continue"/>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废水主要污染物</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i w:val="0"/>
                <w:iCs w:val="0"/>
                <w:caps w:val="0"/>
                <w:color w:val="000000" w:themeColor="text1"/>
                <w:spacing w:val="0"/>
                <w:sz w:val="21"/>
                <w:szCs w:val="21"/>
                <w:shd w:val="clear" w:fill="FFFFFF"/>
                <w:lang w:val="en-US" w:eastAsia="zh-CN"/>
                <w14:textFill>
                  <w14:solidFill>
                    <w14:schemeClr w14:val="tx1"/>
                  </w14:solidFill>
                </w14:textFill>
              </w:rPr>
            </w:pPr>
            <w:r>
              <w:rPr>
                <w:rFonts w:hint="eastAsia" w:ascii="Times New Roman" w:hAnsi="Times New Roman" w:eastAsia="仿宋" w:cs="Times New Roman"/>
                <w:i w:val="0"/>
                <w:iCs w:val="0"/>
                <w:caps w:val="0"/>
                <w:color w:val="000000" w:themeColor="text1"/>
                <w:spacing w:val="0"/>
                <w:sz w:val="21"/>
                <w:szCs w:val="21"/>
                <w:shd w:val="clear" w:fill="FFFFFF"/>
                <w:lang w:val="en-US" w:eastAsia="zh-CN"/>
                <w14:textFill>
                  <w14:solidFill>
                    <w14:schemeClr w14:val="tx1"/>
                  </w14:solidFill>
                </w14:textFill>
              </w:rPr>
              <w:t>化学需氧量、氨氮、pH、SS、五日生化需氧量、肠道致病菌、肠道病毒、粪大肠菌群数、动植物油、阴离子表面活性剂、挥发酚、总氰化物、结核杆菌、石油类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continue"/>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大气主要污染物</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i w:val="0"/>
                <w:iCs w:val="0"/>
                <w:caps w:val="0"/>
                <w:color w:val="000000" w:themeColor="text1"/>
                <w:spacing w:val="0"/>
                <w:sz w:val="21"/>
                <w:szCs w:val="21"/>
                <w:shd w:val="clear" w:fill="FFFFFF"/>
                <w:lang w:val="en-US" w:eastAsia="zh-CN"/>
                <w14:textFill>
                  <w14:solidFill>
                    <w14:schemeClr w14:val="tx1"/>
                  </w14:solidFill>
                </w14:textFill>
              </w:rPr>
            </w:pPr>
            <w:r>
              <w:rPr>
                <w:rFonts w:hint="eastAsia" w:ascii="Times New Roman" w:hAnsi="Times New Roman" w:eastAsia="仿宋" w:cs="Times New Roman"/>
                <w:i w:val="0"/>
                <w:iCs w:val="0"/>
                <w:caps w:val="0"/>
                <w:color w:val="000000" w:themeColor="text1"/>
                <w:spacing w:val="0"/>
                <w:sz w:val="21"/>
                <w:szCs w:val="21"/>
                <w:shd w:val="clear" w:fill="FFFFFF"/>
                <w:lang w:val="en-US" w:eastAsia="zh-CN"/>
                <w14:textFill>
                  <w14:solidFill>
                    <w14:schemeClr w14:val="tx1"/>
                  </w14:solidFill>
                </w14:textFill>
              </w:rPr>
              <w:t>硫化氢、臭气浓度、氨（氨气）、氯（氯气）、甲烷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vMerge w:val="continue"/>
            <w:vAlign w:val="center"/>
          </w:tcPr>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总量控制指标</w:t>
            </w:r>
          </w:p>
        </w:tc>
        <w:tc>
          <w:tcPr>
            <w:tcW w:w="6017" w:type="dxa"/>
            <w:vAlign w:val="center"/>
          </w:tcPr>
          <w:p>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二、企业环境管理信息</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1）生态环境行政许可</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1"/>
        <w:gridCol w:w="2005"/>
        <w:gridCol w:w="1753"/>
        <w:gridCol w:w="1608"/>
        <w:gridCol w:w="2138"/>
        <w:gridCol w:w="1744"/>
        <w:gridCol w:w="1897"/>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 w:type="pct"/>
            <w:vMerge w:val="restart"/>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工程类别</w:t>
            </w:r>
          </w:p>
        </w:tc>
        <w:tc>
          <w:tcPr>
            <w:tcW w:w="707" w:type="pct"/>
            <w:vMerge w:val="restart"/>
            <w:shd w:val="clear" w:color="auto" w:fill="auto"/>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项目名称</w:t>
            </w:r>
          </w:p>
        </w:tc>
        <w:tc>
          <w:tcPr>
            <w:tcW w:w="1939" w:type="pct"/>
            <w:gridSpan w:val="3"/>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环境影响评价</w:t>
            </w:r>
          </w:p>
        </w:tc>
        <w:tc>
          <w:tcPr>
            <w:tcW w:w="1939" w:type="pct"/>
            <w:gridSpan w:val="3"/>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竣工环境保护验收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 w:type="pct"/>
            <w:vMerge w:val="continue"/>
            <w:vAlign w:val="center"/>
          </w:tcPr>
          <w:p>
            <w:pPr>
              <w:jc w:val="center"/>
              <w:rPr>
                <w:rFonts w:hint="default" w:ascii="Times New Roman" w:hAnsi="Times New Roman" w:eastAsia="仿宋" w:cs="Times New Roman"/>
                <w:b/>
                <w:bCs/>
                <w:kern w:val="0"/>
                <w:sz w:val="21"/>
                <w:szCs w:val="21"/>
              </w:rPr>
            </w:pPr>
          </w:p>
        </w:tc>
        <w:tc>
          <w:tcPr>
            <w:tcW w:w="707" w:type="pct"/>
            <w:vMerge w:val="continue"/>
            <w:shd w:val="clear" w:color="auto" w:fill="auto"/>
            <w:vAlign w:val="center"/>
          </w:tcPr>
          <w:p>
            <w:pPr>
              <w:jc w:val="center"/>
              <w:rPr>
                <w:rFonts w:hint="default" w:ascii="Times New Roman" w:hAnsi="Times New Roman" w:eastAsia="仿宋" w:cs="Times New Roman"/>
                <w:b/>
                <w:bCs/>
                <w:kern w:val="0"/>
                <w:sz w:val="21"/>
                <w:szCs w:val="21"/>
              </w:rPr>
            </w:pPr>
          </w:p>
        </w:tc>
        <w:tc>
          <w:tcPr>
            <w:tcW w:w="618" w:type="pct"/>
            <w:shd w:val="clear" w:color="auto" w:fill="auto"/>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审批单位</w:t>
            </w:r>
          </w:p>
        </w:tc>
        <w:tc>
          <w:tcPr>
            <w:tcW w:w="567" w:type="pct"/>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审批文号</w:t>
            </w:r>
          </w:p>
        </w:tc>
        <w:tc>
          <w:tcPr>
            <w:tcW w:w="754" w:type="pct"/>
            <w:shd w:val="clear" w:color="auto" w:fill="auto"/>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批复时间</w:t>
            </w:r>
          </w:p>
        </w:tc>
        <w:tc>
          <w:tcPr>
            <w:tcW w:w="615" w:type="pct"/>
            <w:shd w:val="clear" w:color="auto" w:fill="auto"/>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审批单位</w:t>
            </w:r>
          </w:p>
        </w:tc>
        <w:tc>
          <w:tcPr>
            <w:tcW w:w="669" w:type="pct"/>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审批文号</w:t>
            </w:r>
          </w:p>
        </w:tc>
        <w:tc>
          <w:tcPr>
            <w:tcW w:w="654" w:type="pct"/>
            <w:shd w:val="clear" w:color="auto" w:fill="auto"/>
            <w:vAlign w:val="center"/>
          </w:tcPr>
          <w:p>
            <w:pPr>
              <w:jc w:val="center"/>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批复时间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 w:type="pct"/>
            <w:vAlign w:val="center"/>
          </w:tcPr>
          <w:p>
            <w:pPr>
              <w:jc w:val="center"/>
              <w:rPr>
                <w:rFonts w:hint="default"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建筑</w:t>
            </w:r>
          </w:p>
        </w:tc>
        <w:tc>
          <w:tcPr>
            <w:tcW w:w="707" w:type="pct"/>
            <w:shd w:val="clear" w:color="auto" w:fill="auto"/>
            <w:vAlign w:val="center"/>
          </w:tcPr>
          <w:p>
            <w:pPr>
              <w:jc w:val="center"/>
              <w:rPr>
                <w:rFonts w:hint="default"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门急诊住院综合楼</w:t>
            </w:r>
          </w:p>
        </w:tc>
        <w:tc>
          <w:tcPr>
            <w:tcW w:w="618" w:type="pct"/>
            <w:shd w:val="clear" w:color="auto" w:fill="auto"/>
            <w:vAlign w:val="center"/>
          </w:tcPr>
          <w:p>
            <w:pPr>
              <w:jc w:val="center"/>
              <w:rPr>
                <w:rFonts w:hint="default"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芜湖市生态环境局</w:t>
            </w:r>
          </w:p>
        </w:tc>
        <w:tc>
          <w:tcPr>
            <w:tcW w:w="567" w:type="pct"/>
            <w:vAlign w:val="center"/>
          </w:tcPr>
          <w:p>
            <w:pPr>
              <w:jc w:val="center"/>
              <w:rPr>
                <w:rFonts w:hint="default"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环内审【2016】366号</w:t>
            </w:r>
          </w:p>
        </w:tc>
        <w:tc>
          <w:tcPr>
            <w:tcW w:w="754" w:type="pct"/>
            <w:shd w:val="clear" w:color="auto" w:fill="auto"/>
            <w:vAlign w:val="center"/>
          </w:tcPr>
          <w:p>
            <w:pPr>
              <w:jc w:val="center"/>
              <w:rPr>
                <w:rFonts w:hint="default"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2016年11月23日</w:t>
            </w:r>
          </w:p>
        </w:tc>
        <w:tc>
          <w:tcPr>
            <w:tcW w:w="615" w:type="pct"/>
            <w:shd w:val="clear" w:color="auto" w:fill="auto"/>
            <w:vAlign w:val="center"/>
          </w:tcPr>
          <w:p>
            <w:pPr>
              <w:jc w:val="center"/>
              <w:rPr>
                <w:rFonts w:hint="default"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芜湖市生态环境局</w:t>
            </w:r>
          </w:p>
        </w:tc>
        <w:tc>
          <w:tcPr>
            <w:tcW w:w="669" w:type="pct"/>
            <w:vAlign w:val="center"/>
          </w:tcPr>
          <w:p>
            <w:pPr>
              <w:jc w:val="center"/>
              <w:rPr>
                <w:rFonts w:hint="eastAsia"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w:t>
            </w:r>
          </w:p>
        </w:tc>
        <w:tc>
          <w:tcPr>
            <w:tcW w:w="654" w:type="pct"/>
            <w:shd w:val="clear" w:color="auto" w:fill="auto"/>
            <w:vAlign w:val="center"/>
          </w:tcPr>
          <w:p>
            <w:pPr>
              <w:jc w:val="center"/>
              <w:rPr>
                <w:rFonts w:hint="eastAsia" w:ascii="Times New Roman" w:hAnsi="Times New Roman" w:eastAsia="仿宋" w:cs="Times New Roman"/>
                <w:kern w:val="0"/>
                <w:sz w:val="21"/>
                <w:szCs w:val="21"/>
                <w:lang w:val="en-US" w:eastAsia="zh-CN"/>
              </w:rPr>
            </w:pPr>
            <w:r>
              <w:rPr>
                <w:rFonts w:hint="eastAsia" w:ascii="Times New Roman" w:hAnsi="Times New Roman" w:eastAsia="仿宋" w:cs="Times New Roman"/>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 w:type="pct"/>
            <w:vAlign w:val="center"/>
          </w:tcPr>
          <w:p>
            <w:pPr>
              <w:jc w:val="center"/>
              <w:rPr>
                <w:rFonts w:hint="default" w:ascii="Times New Roman" w:hAnsi="Times New Roman" w:eastAsia="仿宋" w:cs="Times New Roman"/>
                <w:kern w:val="0"/>
                <w:sz w:val="21"/>
                <w:szCs w:val="21"/>
              </w:rPr>
            </w:pPr>
          </w:p>
        </w:tc>
        <w:tc>
          <w:tcPr>
            <w:tcW w:w="707" w:type="pct"/>
            <w:shd w:val="clear" w:color="auto" w:fill="auto"/>
            <w:vAlign w:val="center"/>
          </w:tcPr>
          <w:p>
            <w:pPr>
              <w:jc w:val="center"/>
              <w:rPr>
                <w:rFonts w:hint="default" w:ascii="Times New Roman" w:hAnsi="Times New Roman" w:eastAsia="仿宋" w:cs="Times New Roman"/>
                <w:kern w:val="0"/>
                <w:sz w:val="21"/>
                <w:szCs w:val="21"/>
              </w:rPr>
            </w:pPr>
          </w:p>
        </w:tc>
        <w:tc>
          <w:tcPr>
            <w:tcW w:w="618" w:type="pct"/>
            <w:shd w:val="clear" w:color="auto" w:fill="auto"/>
            <w:vAlign w:val="center"/>
          </w:tcPr>
          <w:p>
            <w:pPr>
              <w:jc w:val="center"/>
              <w:rPr>
                <w:rFonts w:hint="default" w:ascii="Times New Roman" w:hAnsi="Times New Roman" w:eastAsia="仿宋" w:cs="Times New Roman"/>
                <w:kern w:val="0"/>
                <w:sz w:val="21"/>
                <w:szCs w:val="21"/>
              </w:rPr>
            </w:pPr>
          </w:p>
        </w:tc>
        <w:tc>
          <w:tcPr>
            <w:tcW w:w="567" w:type="pct"/>
            <w:vAlign w:val="center"/>
          </w:tcPr>
          <w:p>
            <w:pPr>
              <w:jc w:val="center"/>
              <w:rPr>
                <w:rFonts w:hint="default" w:ascii="Times New Roman" w:hAnsi="Times New Roman" w:eastAsia="仿宋" w:cs="Times New Roman"/>
                <w:kern w:val="0"/>
                <w:sz w:val="21"/>
                <w:szCs w:val="21"/>
              </w:rPr>
            </w:pPr>
          </w:p>
        </w:tc>
        <w:tc>
          <w:tcPr>
            <w:tcW w:w="754" w:type="pct"/>
            <w:shd w:val="clear" w:color="auto" w:fill="auto"/>
            <w:vAlign w:val="center"/>
          </w:tcPr>
          <w:p>
            <w:pPr>
              <w:jc w:val="center"/>
              <w:rPr>
                <w:rFonts w:hint="default" w:ascii="Times New Roman" w:hAnsi="Times New Roman" w:eastAsia="仿宋" w:cs="Times New Roman"/>
                <w:kern w:val="0"/>
                <w:sz w:val="21"/>
                <w:szCs w:val="21"/>
              </w:rPr>
            </w:pPr>
          </w:p>
        </w:tc>
        <w:tc>
          <w:tcPr>
            <w:tcW w:w="615" w:type="pct"/>
            <w:shd w:val="clear" w:color="auto" w:fill="auto"/>
            <w:vAlign w:val="center"/>
          </w:tcPr>
          <w:p>
            <w:pPr>
              <w:jc w:val="center"/>
              <w:rPr>
                <w:rFonts w:hint="default" w:ascii="Times New Roman" w:hAnsi="Times New Roman" w:eastAsia="仿宋" w:cs="Times New Roman"/>
                <w:kern w:val="0"/>
                <w:sz w:val="21"/>
                <w:szCs w:val="21"/>
                <w:lang w:val="en-US" w:eastAsia="zh-CN"/>
              </w:rPr>
            </w:pPr>
          </w:p>
        </w:tc>
        <w:tc>
          <w:tcPr>
            <w:tcW w:w="669" w:type="pct"/>
            <w:shd w:val="clear" w:color="auto" w:fill="auto"/>
            <w:vAlign w:val="center"/>
          </w:tcPr>
          <w:p>
            <w:pPr>
              <w:jc w:val="center"/>
              <w:rPr>
                <w:rFonts w:hint="eastAsia" w:ascii="Times New Roman" w:hAnsi="Times New Roman" w:eastAsia="仿宋" w:cs="Times New Roman"/>
                <w:kern w:val="0"/>
                <w:sz w:val="21"/>
                <w:szCs w:val="21"/>
                <w:lang w:val="en-US" w:eastAsia="zh-CN"/>
              </w:rPr>
            </w:pPr>
          </w:p>
        </w:tc>
        <w:tc>
          <w:tcPr>
            <w:tcW w:w="654" w:type="pct"/>
            <w:shd w:val="clear" w:color="auto" w:fill="auto"/>
            <w:vAlign w:val="center"/>
          </w:tcPr>
          <w:p>
            <w:pPr>
              <w:jc w:val="center"/>
              <w:rPr>
                <w:rFonts w:hint="default" w:ascii="Times New Roman" w:hAnsi="Times New Roman" w:eastAsia="仿宋"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 w:type="pct"/>
            <w:vAlign w:val="center"/>
          </w:tcPr>
          <w:p>
            <w:pPr>
              <w:jc w:val="center"/>
              <w:rPr>
                <w:rFonts w:hint="default" w:ascii="Times New Roman" w:hAnsi="Times New Roman" w:eastAsia="仿宋" w:cs="Times New Roman"/>
                <w:kern w:val="0"/>
                <w:sz w:val="21"/>
                <w:szCs w:val="21"/>
              </w:rPr>
            </w:pPr>
          </w:p>
        </w:tc>
        <w:tc>
          <w:tcPr>
            <w:tcW w:w="707" w:type="pct"/>
            <w:shd w:val="clear" w:color="auto" w:fill="auto"/>
            <w:vAlign w:val="center"/>
          </w:tcPr>
          <w:p>
            <w:pPr>
              <w:jc w:val="center"/>
              <w:rPr>
                <w:rFonts w:hint="default" w:ascii="Times New Roman" w:hAnsi="Times New Roman" w:eastAsia="仿宋" w:cs="Times New Roman"/>
                <w:kern w:val="0"/>
                <w:sz w:val="21"/>
                <w:szCs w:val="21"/>
              </w:rPr>
            </w:pPr>
          </w:p>
        </w:tc>
        <w:tc>
          <w:tcPr>
            <w:tcW w:w="618" w:type="pct"/>
            <w:shd w:val="clear" w:color="auto" w:fill="auto"/>
            <w:vAlign w:val="center"/>
          </w:tcPr>
          <w:p>
            <w:pPr>
              <w:jc w:val="center"/>
              <w:rPr>
                <w:rFonts w:hint="default" w:ascii="Times New Roman" w:hAnsi="Times New Roman" w:eastAsia="仿宋" w:cs="Times New Roman"/>
                <w:b/>
                <w:kern w:val="0"/>
                <w:sz w:val="21"/>
                <w:szCs w:val="21"/>
              </w:rPr>
            </w:pPr>
          </w:p>
        </w:tc>
        <w:tc>
          <w:tcPr>
            <w:tcW w:w="567" w:type="pct"/>
            <w:shd w:val="clear" w:color="auto" w:fill="auto"/>
            <w:vAlign w:val="center"/>
          </w:tcPr>
          <w:p>
            <w:pPr>
              <w:jc w:val="center"/>
              <w:rPr>
                <w:rFonts w:hint="default" w:ascii="Times New Roman" w:hAnsi="Times New Roman" w:eastAsia="仿宋" w:cs="Times New Roman"/>
                <w:kern w:val="0"/>
                <w:sz w:val="21"/>
                <w:szCs w:val="21"/>
                <w:lang w:val="en-US" w:eastAsia="zh-CN"/>
              </w:rPr>
            </w:pPr>
          </w:p>
        </w:tc>
        <w:tc>
          <w:tcPr>
            <w:tcW w:w="754" w:type="pct"/>
            <w:shd w:val="clear" w:color="auto" w:fill="auto"/>
            <w:vAlign w:val="center"/>
          </w:tcPr>
          <w:p>
            <w:pPr>
              <w:jc w:val="center"/>
              <w:rPr>
                <w:rFonts w:hint="default" w:ascii="Times New Roman" w:hAnsi="Times New Roman" w:eastAsia="仿宋" w:cs="Times New Roman"/>
                <w:kern w:val="0"/>
                <w:sz w:val="21"/>
                <w:szCs w:val="21"/>
                <w:lang w:val="en-US" w:eastAsia="zh-CN"/>
              </w:rPr>
            </w:pPr>
          </w:p>
        </w:tc>
        <w:tc>
          <w:tcPr>
            <w:tcW w:w="615" w:type="pct"/>
            <w:shd w:val="clear" w:color="auto" w:fill="auto"/>
            <w:vAlign w:val="center"/>
          </w:tcPr>
          <w:p>
            <w:pPr>
              <w:jc w:val="center"/>
              <w:rPr>
                <w:rFonts w:hint="default" w:ascii="Times New Roman" w:hAnsi="Times New Roman" w:eastAsia="仿宋" w:cs="Times New Roman"/>
                <w:kern w:val="0"/>
                <w:sz w:val="21"/>
                <w:szCs w:val="21"/>
                <w:lang w:val="en-US" w:eastAsia="zh-CN"/>
              </w:rPr>
            </w:pPr>
          </w:p>
        </w:tc>
        <w:tc>
          <w:tcPr>
            <w:tcW w:w="669" w:type="pct"/>
            <w:shd w:val="clear" w:color="auto" w:fill="auto"/>
            <w:vAlign w:val="center"/>
          </w:tcPr>
          <w:p>
            <w:pPr>
              <w:jc w:val="center"/>
              <w:rPr>
                <w:rFonts w:hint="eastAsia" w:ascii="Times New Roman" w:hAnsi="Times New Roman" w:eastAsia="仿宋" w:cs="Times New Roman"/>
                <w:kern w:val="0"/>
                <w:sz w:val="21"/>
                <w:szCs w:val="21"/>
                <w:lang w:val="en-US" w:eastAsia="zh-CN"/>
              </w:rPr>
            </w:pPr>
          </w:p>
        </w:tc>
        <w:tc>
          <w:tcPr>
            <w:tcW w:w="654" w:type="pct"/>
            <w:shd w:val="clear" w:color="auto" w:fill="auto"/>
            <w:vAlign w:val="center"/>
          </w:tcPr>
          <w:p>
            <w:pPr>
              <w:jc w:val="center"/>
              <w:rPr>
                <w:rFonts w:hint="default" w:ascii="Times New Roman" w:hAnsi="Times New Roman" w:eastAsia="仿宋" w:cs="Times New Roman"/>
                <w:kern w:val="0"/>
                <w:sz w:val="21"/>
                <w:szCs w:val="21"/>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2）环境保护税</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8"/>
        <w:gridCol w:w="1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8"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2021年度合计缴纳</w:t>
            </w:r>
          </w:p>
        </w:tc>
        <w:tc>
          <w:tcPr>
            <w:tcW w:w="1130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0元</w:t>
            </w:r>
          </w:p>
        </w:tc>
      </w:tr>
    </w:tbl>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3）环境信用评价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3"/>
        <w:gridCol w:w="3700"/>
        <w:gridCol w:w="8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动态评价</w:t>
            </w: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评价结果</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评定等级</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评定时间</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评定单位</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定期强制评价</w:t>
            </w: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评价结果</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良好企业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评定等级</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评定时间</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7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评定单位</w:t>
            </w:r>
          </w:p>
        </w:tc>
        <w:tc>
          <w:tcPr>
            <w:tcW w:w="873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color w:val="000000" w:themeColor="text1"/>
                <w:kern w:val="2"/>
                <w:sz w:val="24"/>
                <w:szCs w:val="24"/>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安徽省生态环境厅</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三、污染物产生、治理与排放信息</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1）污染防治设施</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a、废水治理设施</w:t>
      </w:r>
    </w:p>
    <w:tbl>
      <w:tblPr>
        <w:tblStyle w:val="1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8"/>
        <w:gridCol w:w="1766"/>
        <w:gridCol w:w="2007"/>
        <w:gridCol w:w="2007"/>
        <w:gridCol w:w="2007"/>
        <w:gridCol w:w="1057"/>
        <w:gridCol w:w="1072"/>
        <w:gridCol w:w="2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6"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污染防治设施名称</w:t>
            </w:r>
          </w:p>
        </w:tc>
        <w:tc>
          <w:tcPr>
            <w:tcW w:w="626"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污染类别</w:t>
            </w:r>
          </w:p>
        </w:tc>
        <w:tc>
          <w:tcPr>
            <w:tcW w:w="711"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处理方法</w:t>
            </w:r>
          </w:p>
        </w:tc>
        <w:tc>
          <w:tcPr>
            <w:tcW w:w="711"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处理能力</w:t>
            </w:r>
          </w:p>
        </w:tc>
        <w:tc>
          <w:tcPr>
            <w:tcW w:w="711"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运行时间（小时）</w:t>
            </w:r>
          </w:p>
        </w:tc>
        <w:tc>
          <w:tcPr>
            <w:tcW w:w="732" w:type="pct"/>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年处理量（吨）</w:t>
            </w:r>
          </w:p>
        </w:tc>
        <w:tc>
          <w:tcPr>
            <w:tcW w:w="711"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排放口的名称及编号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6"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626"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71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71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71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37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理论</w:t>
            </w:r>
          </w:p>
        </w:tc>
        <w:tc>
          <w:tcPr>
            <w:tcW w:w="35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实际</w:t>
            </w:r>
          </w:p>
        </w:tc>
        <w:tc>
          <w:tcPr>
            <w:tcW w:w="711"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污水处理站</w:t>
            </w:r>
          </w:p>
        </w:tc>
        <w:tc>
          <w:tcPr>
            <w:tcW w:w="62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t>废水</w:t>
            </w:r>
          </w:p>
        </w:tc>
        <w:tc>
          <w:tcPr>
            <w:tcW w:w="71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水解酸化+接触氧化+单过硫酸氢钾消毒粉</w:t>
            </w:r>
          </w:p>
        </w:tc>
        <w:tc>
          <w:tcPr>
            <w:tcW w:w="71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sz w:val="21"/>
                <w:szCs w:val="21"/>
                <w:lang w:val="en-US" w:eastAsia="zh-CN"/>
              </w:rPr>
              <w:t>200</w:t>
            </w:r>
            <w:r>
              <w:rPr>
                <w:rFonts w:hint="default" w:ascii="Times New Roman" w:hAnsi="Times New Roman" w:cs="Times New Roman"/>
                <w:sz w:val="21"/>
                <w:szCs w:val="21"/>
              </w:rPr>
              <w:t>0m</w:t>
            </w:r>
            <w:r>
              <w:rPr>
                <w:rFonts w:hint="default" w:ascii="Times New Roman" w:hAnsi="Times New Roman" w:cs="Times New Roman"/>
                <w:sz w:val="21"/>
                <w:szCs w:val="21"/>
                <w:vertAlign w:val="superscript"/>
              </w:rPr>
              <w:t>3</w:t>
            </w:r>
            <w:r>
              <w:rPr>
                <w:rFonts w:hint="default" w:ascii="Times New Roman" w:hAnsi="Times New Roman" w:cs="Times New Roman"/>
                <w:sz w:val="21"/>
                <w:szCs w:val="21"/>
              </w:rPr>
              <w:t>/d</w:t>
            </w:r>
          </w:p>
        </w:tc>
        <w:tc>
          <w:tcPr>
            <w:tcW w:w="71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24h</w:t>
            </w:r>
          </w:p>
        </w:tc>
        <w:tc>
          <w:tcPr>
            <w:tcW w:w="37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7.3×10</w:t>
            </w:r>
            <w:r>
              <w:rPr>
                <w:rFonts w:hint="eastAsia" w:ascii="Times New Roman" w:hAnsi="Times New Roman" w:eastAsia="仿宋" w:cs="Times New Roman"/>
                <w:color w:val="000000" w:themeColor="text1"/>
                <w:sz w:val="21"/>
                <w:szCs w:val="21"/>
                <w:vertAlign w:val="superscript"/>
                <w:lang w:val="en-US" w:eastAsia="zh-CN"/>
                <w14:textFill>
                  <w14:solidFill>
                    <w14:schemeClr w14:val="tx1"/>
                  </w14:solidFill>
                </w14:textFill>
              </w:rPr>
              <w:t>5</w:t>
            </w:r>
          </w:p>
        </w:tc>
        <w:tc>
          <w:tcPr>
            <w:tcW w:w="35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2.92×10</w:t>
            </w:r>
            <w:r>
              <w:rPr>
                <w:rFonts w:hint="eastAsia" w:ascii="Times New Roman" w:hAnsi="Times New Roman" w:eastAsia="仿宋" w:cs="Times New Roman"/>
                <w:color w:val="000000" w:themeColor="text1"/>
                <w:sz w:val="21"/>
                <w:szCs w:val="21"/>
                <w:vertAlign w:val="superscript"/>
                <w:lang w:val="en-US" w:eastAsia="zh-CN"/>
                <w14:textFill>
                  <w14:solidFill>
                    <w14:schemeClr w14:val="tx1"/>
                  </w14:solidFill>
                </w14:textFill>
              </w:rPr>
              <w:t>5</w:t>
            </w:r>
          </w:p>
        </w:tc>
        <w:tc>
          <w:tcPr>
            <w:tcW w:w="71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污水总排口（DW001）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b、废水治理设施</w:t>
      </w:r>
    </w:p>
    <w:tbl>
      <w:tblPr>
        <w:tblStyle w:val="13"/>
        <w:tblW w:w="500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49"/>
        <w:gridCol w:w="5652"/>
        <w:gridCol w:w="2034"/>
        <w:gridCol w:w="1905"/>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518"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b/>
                <w:bCs/>
                <w:color w:val="000000"/>
                <w:position w:val="0"/>
                <w:sz w:val="21"/>
                <w:szCs w:val="21"/>
                <w:highlight w:val="none"/>
              </w:rPr>
            </w:pPr>
            <w:r>
              <w:rPr>
                <w:rFonts w:hint="default" w:ascii="Times New Roman" w:hAnsi="Times New Roman" w:eastAsia="仿宋" w:cs="Times New Roman"/>
                <w:b/>
                <w:bCs/>
                <w:color w:val="000000"/>
                <w:position w:val="0"/>
                <w:sz w:val="21"/>
                <w:szCs w:val="21"/>
                <w:highlight w:val="none"/>
              </w:rPr>
              <w:t>污染源编号</w:t>
            </w:r>
          </w:p>
        </w:tc>
        <w:tc>
          <w:tcPr>
            <w:tcW w:w="2020"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b/>
                <w:bCs/>
                <w:color w:val="000000"/>
                <w:position w:val="0"/>
                <w:sz w:val="21"/>
                <w:szCs w:val="21"/>
                <w:highlight w:val="none"/>
                <w:lang w:val="en-US" w:eastAsia="zh-CN"/>
              </w:rPr>
            </w:pPr>
            <w:r>
              <w:rPr>
                <w:rFonts w:hint="default" w:ascii="Times New Roman" w:hAnsi="Times New Roman" w:eastAsia="仿宋" w:cs="Times New Roman"/>
                <w:b/>
                <w:bCs/>
                <w:color w:val="000000"/>
                <w:position w:val="0"/>
                <w:sz w:val="21"/>
                <w:szCs w:val="21"/>
                <w:highlight w:val="none"/>
                <w:lang w:val="en-US" w:eastAsia="zh-CN"/>
              </w:rPr>
              <w:t>废气来源</w:t>
            </w:r>
          </w:p>
        </w:tc>
        <w:tc>
          <w:tcPr>
            <w:tcW w:w="727"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b/>
                <w:bCs/>
                <w:color w:val="000000"/>
                <w:position w:val="0"/>
                <w:sz w:val="21"/>
                <w:szCs w:val="21"/>
                <w:highlight w:val="none"/>
                <w:lang w:val="en-US" w:eastAsia="zh-CN"/>
              </w:rPr>
            </w:pPr>
            <w:r>
              <w:rPr>
                <w:rFonts w:hint="default" w:ascii="Times New Roman" w:hAnsi="Times New Roman" w:eastAsia="仿宋" w:cs="Times New Roman"/>
                <w:b/>
                <w:bCs/>
                <w:color w:val="000000"/>
                <w:position w:val="0"/>
                <w:sz w:val="21"/>
                <w:szCs w:val="21"/>
                <w:highlight w:val="none"/>
                <w:lang w:val="en-US" w:eastAsia="zh-CN"/>
              </w:rPr>
              <w:t>处理工艺</w:t>
            </w:r>
          </w:p>
        </w:tc>
        <w:tc>
          <w:tcPr>
            <w:tcW w:w="681"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b/>
                <w:bCs/>
                <w:color w:val="000000"/>
                <w:position w:val="0"/>
                <w:sz w:val="21"/>
                <w:szCs w:val="21"/>
                <w:highlight w:val="none"/>
              </w:rPr>
            </w:pPr>
            <w:r>
              <w:rPr>
                <w:rFonts w:hint="default" w:ascii="Times New Roman" w:hAnsi="Times New Roman" w:eastAsia="仿宋" w:cs="Times New Roman"/>
                <w:b/>
                <w:bCs/>
                <w:color w:val="000000"/>
                <w:position w:val="0"/>
                <w:sz w:val="21"/>
                <w:szCs w:val="21"/>
                <w:highlight w:val="none"/>
              </w:rPr>
              <w:t>排气量m</w:t>
            </w:r>
            <w:r>
              <w:rPr>
                <w:rFonts w:hint="default" w:ascii="Times New Roman" w:hAnsi="Times New Roman" w:eastAsia="仿宋" w:cs="Times New Roman"/>
                <w:b/>
                <w:bCs/>
                <w:color w:val="000000"/>
                <w:position w:val="0"/>
                <w:sz w:val="21"/>
                <w:szCs w:val="21"/>
                <w:highlight w:val="none"/>
                <w:vertAlign w:val="superscript"/>
              </w:rPr>
              <w:t>3</w:t>
            </w:r>
            <w:r>
              <w:rPr>
                <w:rFonts w:hint="default" w:ascii="Times New Roman" w:hAnsi="Times New Roman" w:eastAsia="仿宋" w:cs="Times New Roman"/>
                <w:b/>
                <w:bCs/>
                <w:color w:val="000000"/>
                <w:position w:val="0"/>
                <w:sz w:val="21"/>
                <w:szCs w:val="21"/>
                <w:highlight w:val="none"/>
              </w:rPr>
              <w:t>/h</w:t>
            </w:r>
          </w:p>
        </w:tc>
        <w:tc>
          <w:tcPr>
            <w:tcW w:w="1051" w:type="pc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b/>
                <w:bCs/>
                <w:color w:val="000000"/>
                <w:position w:val="0"/>
                <w:sz w:val="21"/>
                <w:szCs w:val="21"/>
                <w:highlight w:val="none"/>
              </w:rPr>
            </w:pPr>
            <w:r>
              <w:rPr>
                <w:rFonts w:hint="default" w:ascii="Times New Roman" w:hAnsi="Times New Roman" w:eastAsia="仿宋" w:cs="Times New Roman"/>
                <w:b/>
                <w:bCs/>
                <w:color w:val="000000"/>
                <w:position w:val="0"/>
                <w:sz w:val="21"/>
                <w:szCs w:val="21"/>
                <w:highlight w:val="none"/>
              </w:rPr>
              <w:t>污染物名称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518"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r>
              <w:rPr>
                <w:rFonts w:hint="default" w:ascii="Times New Roman" w:hAnsi="Times New Roman" w:eastAsia="仿宋" w:cs="Times New Roman"/>
                <w:color w:val="000000"/>
                <w:position w:val="0"/>
                <w:sz w:val="21"/>
                <w:szCs w:val="21"/>
                <w:highlight w:val="none"/>
                <w:lang w:val="en-US" w:eastAsia="zh-CN"/>
              </w:rPr>
              <w:t>DA00</w:t>
            </w:r>
            <w:r>
              <w:rPr>
                <w:rFonts w:hint="eastAsia" w:ascii="Times New Roman" w:hAnsi="Times New Roman" w:eastAsia="仿宋" w:cs="Times New Roman"/>
                <w:color w:val="000000"/>
                <w:position w:val="0"/>
                <w:sz w:val="21"/>
                <w:szCs w:val="21"/>
                <w:highlight w:val="none"/>
                <w:lang w:val="en-US" w:eastAsia="zh-CN"/>
              </w:rPr>
              <w:t>1</w:t>
            </w:r>
          </w:p>
        </w:tc>
        <w:tc>
          <w:tcPr>
            <w:tcW w:w="2020"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r>
              <w:rPr>
                <w:rFonts w:hint="eastAsia" w:ascii="Times New Roman" w:hAnsi="Times New Roman" w:eastAsia="仿宋" w:cs="Times New Roman"/>
                <w:color w:val="000000"/>
                <w:position w:val="0"/>
                <w:sz w:val="21"/>
                <w:szCs w:val="21"/>
                <w:highlight w:val="none"/>
                <w:lang w:val="en-US" w:eastAsia="zh-CN"/>
              </w:rPr>
              <w:t>污水站产生的废气</w:t>
            </w:r>
          </w:p>
        </w:tc>
        <w:tc>
          <w:tcPr>
            <w:tcW w:w="727"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rPr>
            </w:pPr>
            <w:r>
              <w:rPr>
                <w:rFonts w:hint="eastAsia" w:ascii="Times New Roman" w:hAnsi="Times New Roman" w:eastAsia="仿宋" w:cs="Times New Roman"/>
                <w:color w:val="000000"/>
                <w:position w:val="0"/>
                <w:sz w:val="21"/>
                <w:szCs w:val="21"/>
                <w:highlight w:val="none"/>
                <w:lang w:val="en-US" w:eastAsia="zh-CN"/>
              </w:rPr>
              <w:t>等离子+活性炭</w:t>
            </w:r>
          </w:p>
        </w:tc>
        <w:tc>
          <w:tcPr>
            <w:tcW w:w="681" w:type="pct"/>
            <w:vMerge w:val="restar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r>
              <w:rPr>
                <w:rFonts w:hint="eastAsia" w:ascii="Times New Roman" w:hAnsi="Times New Roman" w:eastAsia="仿宋" w:cs="Times New Roman"/>
                <w:color w:val="000000"/>
                <w:position w:val="0"/>
                <w:sz w:val="21"/>
                <w:szCs w:val="21"/>
                <w:highlight w:val="none"/>
                <w:lang w:val="en-US" w:eastAsia="zh-CN"/>
              </w:rPr>
              <w:t>4000m³/h</w:t>
            </w:r>
          </w:p>
        </w:tc>
        <w:tc>
          <w:tcPr>
            <w:tcW w:w="1051" w:type="pc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r>
              <w:rPr>
                <w:rFonts w:hint="eastAsia" w:ascii="Times New Roman" w:hAnsi="Times New Roman" w:eastAsia="仿宋" w:cs="Times New Roman"/>
                <w:color w:val="000000"/>
                <w:position w:val="0"/>
                <w:sz w:val="21"/>
                <w:szCs w:val="21"/>
                <w:highlight w:val="none"/>
                <w:lang w:val="en-US" w:eastAsia="zh-CN"/>
              </w:rPr>
              <w:t>硫化氢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51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rPr>
            </w:pPr>
          </w:p>
        </w:tc>
        <w:tc>
          <w:tcPr>
            <w:tcW w:w="202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rPr>
            </w:pPr>
          </w:p>
        </w:tc>
        <w:tc>
          <w:tcPr>
            <w:tcW w:w="72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rPr>
            </w:pPr>
          </w:p>
        </w:tc>
        <w:tc>
          <w:tcPr>
            <w:tcW w:w="6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rPr>
            </w:pPr>
          </w:p>
        </w:tc>
        <w:tc>
          <w:tcPr>
            <w:tcW w:w="1051" w:type="pc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ascii="Times New Roman" w:hAnsi="Times New Roman" w:eastAsia="仿宋" w:cs="Times New Roman"/>
                <w:color w:val="000000"/>
                <w:position w:val="0"/>
                <w:sz w:val="21"/>
                <w:szCs w:val="21"/>
                <w:highlight w:val="none"/>
                <w:lang w:eastAsia="zh-CN"/>
              </w:rPr>
            </w:pPr>
            <w:r>
              <w:rPr>
                <w:rFonts w:hint="eastAsia" w:ascii="Times New Roman" w:hAnsi="Times New Roman" w:eastAsia="仿宋" w:cs="Times New Roman"/>
                <w:color w:val="000000"/>
                <w:position w:val="0"/>
                <w:sz w:val="21"/>
                <w:szCs w:val="21"/>
                <w:highlight w:val="none"/>
                <w:lang w:val="en-US" w:eastAsia="zh-CN"/>
              </w:rPr>
              <w:t>臭气浓度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518" w:type="pct"/>
            <w:vMerge w:val="continue"/>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p>
        </w:tc>
        <w:tc>
          <w:tcPr>
            <w:tcW w:w="2020" w:type="pct"/>
            <w:vMerge w:val="continue"/>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p>
        </w:tc>
        <w:tc>
          <w:tcPr>
            <w:tcW w:w="727" w:type="pct"/>
            <w:vMerge w:val="continue"/>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p>
        </w:tc>
        <w:tc>
          <w:tcPr>
            <w:tcW w:w="6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rPr>
            </w:pPr>
          </w:p>
        </w:tc>
        <w:tc>
          <w:tcPr>
            <w:tcW w:w="1051" w:type="pct"/>
            <w:tcBorders>
              <w:tl2br w:val="nil"/>
              <w:tr2bl w:val="nil"/>
            </w:tcBorders>
            <w:noWrap w:val="0"/>
            <w:vAlign w:val="center"/>
          </w:tcPr>
          <w:p>
            <w:pPr>
              <w:pStyle w:val="18"/>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eastAsia="仿宋" w:cs="Times New Roman"/>
                <w:color w:val="000000"/>
                <w:position w:val="0"/>
                <w:sz w:val="21"/>
                <w:szCs w:val="21"/>
                <w:highlight w:val="none"/>
                <w:lang w:val="en-US" w:eastAsia="zh-CN"/>
              </w:rPr>
            </w:pPr>
            <w:r>
              <w:rPr>
                <w:rFonts w:hint="eastAsia" w:ascii="Times New Roman" w:hAnsi="Times New Roman" w:eastAsia="仿宋" w:cs="Times New Roman"/>
                <w:color w:val="000000"/>
                <w:position w:val="0"/>
                <w:sz w:val="21"/>
                <w:szCs w:val="21"/>
                <w:highlight w:val="none"/>
                <w:lang w:val="en-US" w:eastAsia="zh-CN"/>
              </w:rPr>
              <w:t>氨（氨气）</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c、固体废物贮存设施</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8"/>
        <w:gridCol w:w="2350"/>
        <w:gridCol w:w="1733"/>
        <w:gridCol w:w="1737"/>
        <w:gridCol w:w="2738"/>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设施名称</w:t>
            </w:r>
          </w:p>
        </w:tc>
        <w:tc>
          <w:tcPr>
            <w:tcW w:w="23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贮存类型</w:t>
            </w:r>
          </w:p>
        </w:tc>
        <w:tc>
          <w:tcPr>
            <w:tcW w:w="17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占地面积</w:t>
            </w:r>
          </w:p>
        </w:tc>
        <w:tc>
          <w:tcPr>
            <w:tcW w:w="173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贮存能力</w:t>
            </w:r>
          </w:p>
        </w:tc>
        <w:tc>
          <w:tcPr>
            <w:tcW w:w="27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经纬度坐标</w:t>
            </w:r>
          </w:p>
        </w:tc>
        <w:tc>
          <w:tcPr>
            <w:tcW w:w="32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贮存废弃物种类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医废暂存库</w:t>
            </w:r>
          </w:p>
        </w:tc>
        <w:tc>
          <w:tcPr>
            <w:tcW w:w="23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一类</w:t>
            </w:r>
          </w:p>
        </w:tc>
        <w:tc>
          <w:tcPr>
            <w:tcW w:w="17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80平方米</w:t>
            </w:r>
          </w:p>
        </w:tc>
        <w:tc>
          <w:tcPr>
            <w:tcW w:w="173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27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c>
          <w:tcPr>
            <w:tcW w:w="32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2）污染物排放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lang w:val="en-US" w:eastAsia="zh-CN"/>
          <w14:textFill>
            <w14:solidFill>
              <w14:schemeClr w14:val="tx1"/>
            </w14:solidFill>
          </w14:textFill>
        </w:rPr>
        <w:t>a、有组织废气排放</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1"/>
        <w:gridCol w:w="10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类型</w:t>
            </w:r>
          </w:p>
        </w:tc>
        <w:tc>
          <w:tcPr>
            <w:tcW w:w="1049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污水站废气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排口数量</w:t>
            </w:r>
          </w:p>
        </w:tc>
        <w:tc>
          <w:tcPr>
            <w:tcW w:w="1049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执行的污染物排放标准</w:t>
            </w:r>
          </w:p>
        </w:tc>
        <w:tc>
          <w:tcPr>
            <w:tcW w:w="1049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《恶臭污染物排放标准》（GB14554-93），《医疗机构水污染物排放标准》（GB18466-2005）</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tbl>
      <w:tblPr>
        <w:tblStyle w:val="13"/>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93"/>
        <w:gridCol w:w="1050"/>
        <w:gridCol w:w="861"/>
        <w:gridCol w:w="1994"/>
        <w:gridCol w:w="1302"/>
        <w:gridCol w:w="1152"/>
        <w:gridCol w:w="1132"/>
        <w:gridCol w:w="1158"/>
        <w:gridCol w:w="1197"/>
        <w:gridCol w:w="966"/>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387"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排放口编号</w:t>
            </w:r>
          </w:p>
        </w:tc>
        <w:tc>
          <w:tcPr>
            <w:tcW w:w="372"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污染物种类</w:t>
            </w:r>
          </w:p>
        </w:tc>
        <w:tc>
          <w:tcPr>
            <w:tcW w:w="30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监测设施</w:t>
            </w:r>
          </w:p>
        </w:tc>
        <w:tc>
          <w:tcPr>
            <w:tcW w:w="706"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许可排放浓度限值</w:t>
            </w:r>
          </w:p>
        </w:tc>
        <w:tc>
          <w:tcPr>
            <w:tcW w:w="461"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lang w:val="en-US" w:eastAsia="zh-CN"/>
              </w:rPr>
            </w:pPr>
            <w:r>
              <w:rPr>
                <w:rFonts w:hint="default" w:ascii="Times New Roman" w:hAnsi="Times New Roman" w:eastAsia="仿宋" w:cs="Times New Roman"/>
                <w:b/>
                <w:bCs/>
                <w:sz w:val="21"/>
                <w:szCs w:val="21"/>
                <w:lang w:val="en-US" w:eastAsia="zh-CN"/>
              </w:rPr>
              <w:t>监测频次</w:t>
            </w:r>
          </w:p>
        </w:tc>
        <w:tc>
          <w:tcPr>
            <w:tcW w:w="1219" w:type="pct"/>
            <w:gridSpan w:val="3"/>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监测结果（折标，小时浓度）（mg/m</w:t>
            </w:r>
            <w:r>
              <w:rPr>
                <w:rFonts w:hint="default" w:ascii="Times New Roman" w:hAnsi="Times New Roman" w:eastAsia="仿宋" w:cs="Times New Roman"/>
                <w:b/>
                <w:bCs/>
                <w:sz w:val="21"/>
                <w:szCs w:val="21"/>
                <w:vertAlign w:val="superscript"/>
              </w:rPr>
              <w:t>3</w:t>
            </w:r>
            <w:r>
              <w:rPr>
                <w:rFonts w:hint="default" w:ascii="Times New Roman" w:hAnsi="Times New Roman" w:eastAsia="仿宋" w:cs="Times New Roman"/>
                <w:b/>
                <w:bCs/>
                <w:sz w:val="21"/>
                <w:szCs w:val="21"/>
              </w:rPr>
              <w:t>）</w:t>
            </w:r>
          </w:p>
        </w:tc>
        <w:tc>
          <w:tcPr>
            <w:tcW w:w="42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超标数据数量</w:t>
            </w:r>
          </w:p>
        </w:tc>
        <w:tc>
          <w:tcPr>
            <w:tcW w:w="342"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超标率(%)</w:t>
            </w:r>
          </w:p>
        </w:tc>
        <w:tc>
          <w:tcPr>
            <w:tcW w:w="780"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38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372"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30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70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46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40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最小值</w:t>
            </w:r>
          </w:p>
        </w:tc>
        <w:tc>
          <w:tcPr>
            <w:tcW w:w="40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最大值</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平均值</w:t>
            </w:r>
          </w:p>
        </w:tc>
        <w:tc>
          <w:tcPr>
            <w:tcW w:w="42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342"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780"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387" w:type="pct"/>
            <w:vMerge w:val="restar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sz w:val="21"/>
                <w:szCs w:val="21"/>
                <w:lang w:eastAsia="zh-CN"/>
              </w:rPr>
            </w:pPr>
            <w:r>
              <w:rPr>
                <w:rFonts w:hint="default" w:ascii="Times New Roman" w:hAnsi="Times New Roman" w:eastAsia="仿宋" w:cs="Times New Roman"/>
                <w:sz w:val="21"/>
                <w:szCs w:val="21"/>
              </w:rPr>
              <w:t>DA00</w:t>
            </w:r>
            <w:r>
              <w:rPr>
                <w:rFonts w:hint="eastAsia" w:ascii="Times New Roman" w:hAnsi="Times New Roman" w:eastAsia="仿宋" w:cs="Times New Roman"/>
                <w:sz w:val="21"/>
                <w:szCs w:val="21"/>
                <w:lang w:val="en-US" w:eastAsia="zh-CN"/>
              </w:rPr>
              <w:t>1</w:t>
            </w:r>
          </w:p>
        </w:tc>
        <w:tc>
          <w:tcPr>
            <w:tcW w:w="37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sz w:val="21"/>
                <w:szCs w:val="21"/>
                <w:lang w:eastAsia="zh-CN"/>
              </w:rPr>
            </w:pPr>
            <w:r>
              <w:rPr>
                <w:rFonts w:hint="eastAsia" w:ascii="Times New Roman" w:hAnsi="Times New Roman" w:eastAsia="仿宋" w:cs="Times New Roman"/>
                <w:sz w:val="21"/>
                <w:szCs w:val="21"/>
                <w:lang w:val="en-US" w:eastAsia="zh-CN"/>
              </w:rPr>
              <w:t>硫化氢</w:t>
            </w:r>
          </w:p>
        </w:tc>
        <w:tc>
          <w:tcPr>
            <w:tcW w:w="30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手工</w:t>
            </w:r>
          </w:p>
        </w:tc>
        <w:tc>
          <w:tcPr>
            <w:tcW w:w="706"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0.33kg/h</w:t>
            </w:r>
          </w:p>
        </w:tc>
        <w:tc>
          <w:tcPr>
            <w:tcW w:w="46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sz w:val="21"/>
                <w:szCs w:val="21"/>
                <w:lang w:eastAsia="zh-CN"/>
              </w:rPr>
            </w:pPr>
            <w:r>
              <w:rPr>
                <w:rFonts w:hint="default" w:ascii="Times New Roman" w:hAnsi="Times New Roman" w:eastAsia="仿宋" w:cs="Times New Roman"/>
                <w:sz w:val="21"/>
                <w:szCs w:val="21"/>
              </w:rPr>
              <w:t>1次/</w:t>
            </w:r>
            <w:r>
              <w:rPr>
                <w:rFonts w:hint="eastAsia" w:ascii="Times New Roman" w:hAnsi="Times New Roman" w:eastAsia="仿宋" w:cs="Times New Roman"/>
                <w:sz w:val="21"/>
                <w:szCs w:val="21"/>
                <w:lang w:val="en-US" w:eastAsia="zh-CN"/>
              </w:rPr>
              <w:t>季度</w:t>
            </w:r>
          </w:p>
        </w:tc>
        <w:tc>
          <w:tcPr>
            <w:tcW w:w="408"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0.05</w:t>
            </w:r>
          </w:p>
        </w:tc>
        <w:tc>
          <w:tcPr>
            <w:tcW w:w="40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0.235</w:t>
            </w:r>
          </w:p>
        </w:tc>
        <w:tc>
          <w:tcPr>
            <w:tcW w:w="41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0.1425</w:t>
            </w:r>
          </w:p>
        </w:tc>
        <w:tc>
          <w:tcPr>
            <w:tcW w:w="42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w:t>
            </w:r>
          </w:p>
        </w:tc>
        <w:tc>
          <w:tcPr>
            <w:tcW w:w="34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w:t>
            </w:r>
          </w:p>
        </w:tc>
        <w:tc>
          <w:tcPr>
            <w:tcW w:w="78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387"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37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sz w:val="21"/>
                <w:szCs w:val="21"/>
                <w:lang w:eastAsia="zh-CN"/>
              </w:rPr>
            </w:pPr>
            <w:r>
              <w:rPr>
                <w:rFonts w:hint="eastAsia" w:ascii="Times New Roman" w:hAnsi="Times New Roman" w:eastAsia="仿宋" w:cs="Times New Roman"/>
                <w:sz w:val="21"/>
                <w:szCs w:val="21"/>
                <w:lang w:val="en-US" w:eastAsia="zh-CN"/>
              </w:rPr>
              <w:t>臭气浓度</w:t>
            </w:r>
          </w:p>
        </w:tc>
        <w:tc>
          <w:tcPr>
            <w:tcW w:w="30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手工</w:t>
            </w:r>
          </w:p>
        </w:tc>
        <w:tc>
          <w:tcPr>
            <w:tcW w:w="706"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2000无量纲</w:t>
            </w:r>
          </w:p>
        </w:tc>
        <w:tc>
          <w:tcPr>
            <w:tcW w:w="46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sz w:val="21"/>
                <w:szCs w:val="21"/>
                <w:lang w:eastAsia="zh-CN"/>
              </w:rPr>
            </w:pPr>
            <w:r>
              <w:rPr>
                <w:rFonts w:hint="default" w:ascii="Times New Roman" w:hAnsi="Times New Roman" w:eastAsia="仿宋" w:cs="Times New Roman"/>
                <w:sz w:val="21"/>
                <w:szCs w:val="21"/>
              </w:rPr>
              <w:t>1次/</w:t>
            </w:r>
            <w:r>
              <w:rPr>
                <w:rFonts w:hint="eastAsia" w:ascii="Times New Roman" w:hAnsi="Times New Roman" w:eastAsia="仿宋" w:cs="Times New Roman"/>
                <w:sz w:val="21"/>
                <w:szCs w:val="21"/>
                <w:lang w:val="en-US" w:eastAsia="zh-CN"/>
              </w:rPr>
              <w:t>季度</w:t>
            </w:r>
          </w:p>
        </w:tc>
        <w:tc>
          <w:tcPr>
            <w:tcW w:w="408"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72</w:t>
            </w:r>
          </w:p>
        </w:tc>
        <w:tc>
          <w:tcPr>
            <w:tcW w:w="40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309</w:t>
            </w:r>
          </w:p>
        </w:tc>
        <w:tc>
          <w:tcPr>
            <w:tcW w:w="41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190.5</w:t>
            </w:r>
          </w:p>
        </w:tc>
        <w:tc>
          <w:tcPr>
            <w:tcW w:w="42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w:t>
            </w:r>
          </w:p>
        </w:tc>
        <w:tc>
          <w:tcPr>
            <w:tcW w:w="34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w:t>
            </w:r>
          </w:p>
        </w:tc>
        <w:tc>
          <w:tcPr>
            <w:tcW w:w="78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387"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c>
          <w:tcPr>
            <w:tcW w:w="37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氨（氨气）</w:t>
            </w:r>
          </w:p>
        </w:tc>
        <w:tc>
          <w:tcPr>
            <w:tcW w:w="30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手工</w:t>
            </w:r>
          </w:p>
        </w:tc>
        <w:tc>
          <w:tcPr>
            <w:tcW w:w="706"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4.9kg/h</w:t>
            </w:r>
          </w:p>
        </w:tc>
        <w:tc>
          <w:tcPr>
            <w:tcW w:w="46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sz w:val="21"/>
                <w:szCs w:val="21"/>
                <w:lang w:eastAsia="zh-CN"/>
              </w:rPr>
            </w:pPr>
            <w:r>
              <w:rPr>
                <w:rFonts w:hint="default" w:ascii="Times New Roman" w:hAnsi="Times New Roman" w:eastAsia="仿宋" w:cs="Times New Roman"/>
                <w:sz w:val="21"/>
                <w:szCs w:val="21"/>
              </w:rPr>
              <w:t>1次/</w:t>
            </w:r>
            <w:r>
              <w:rPr>
                <w:rFonts w:hint="eastAsia" w:ascii="Times New Roman" w:hAnsi="Times New Roman" w:eastAsia="仿宋" w:cs="Times New Roman"/>
                <w:sz w:val="21"/>
                <w:szCs w:val="21"/>
                <w:lang w:val="en-US" w:eastAsia="zh-CN"/>
              </w:rPr>
              <w:t>季度</w:t>
            </w:r>
          </w:p>
        </w:tc>
        <w:tc>
          <w:tcPr>
            <w:tcW w:w="408"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2.3</w:t>
            </w:r>
          </w:p>
        </w:tc>
        <w:tc>
          <w:tcPr>
            <w:tcW w:w="40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4.46</w:t>
            </w:r>
          </w:p>
        </w:tc>
        <w:tc>
          <w:tcPr>
            <w:tcW w:w="41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3.38</w:t>
            </w:r>
          </w:p>
        </w:tc>
        <w:tc>
          <w:tcPr>
            <w:tcW w:w="42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w:t>
            </w:r>
          </w:p>
        </w:tc>
        <w:tc>
          <w:tcPr>
            <w:tcW w:w="34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w:t>
            </w:r>
          </w:p>
        </w:tc>
        <w:tc>
          <w:tcPr>
            <w:tcW w:w="78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sz w:val="21"/>
                <w:szCs w:val="21"/>
              </w:rPr>
            </w:pP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12"/>
        <w:keepNext w:val="0"/>
        <w:keepLines w:val="0"/>
        <w:widowControl/>
        <w:suppressLineNumbers w:val="0"/>
        <w:jc w:val="both"/>
        <w:rPr>
          <w:rFonts w:hint="eastAsia" w:ascii="仿宋_GB2312" w:hAnsi="仿宋_GB2312" w:eastAsia="仿宋_GB2312" w:cs="仿宋_GB2312"/>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仿宋"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lang w:val="en-US" w:eastAsia="zh-CN"/>
          <w14:textFill>
            <w14:solidFill>
              <w14:schemeClr w14:val="tx1"/>
            </w14:solidFill>
          </w14:textFill>
        </w:rPr>
        <w:t>b、无组织废气排放</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760"/>
        <w:gridCol w:w="2070"/>
        <w:gridCol w:w="1418"/>
        <w:gridCol w:w="2188"/>
        <w:gridCol w:w="1612"/>
        <w:gridCol w:w="1299"/>
        <w:gridCol w:w="2976"/>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序号</w:t>
            </w:r>
          </w:p>
        </w:tc>
        <w:tc>
          <w:tcPr>
            <w:tcW w:w="73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生产设施/无组织排放编号</w:t>
            </w:r>
          </w:p>
        </w:tc>
        <w:tc>
          <w:tcPr>
            <w:tcW w:w="5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污染物种类</w:t>
            </w:r>
          </w:p>
        </w:tc>
        <w:tc>
          <w:tcPr>
            <w:tcW w:w="7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许可排放浓度限值（mg/m</w:t>
            </w:r>
            <w:r>
              <w:rPr>
                <w:rFonts w:hint="default" w:ascii="Times New Roman" w:hAnsi="Times New Roman" w:eastAsia="仿宋" w:cs="Times New Roman"/>
                <w:b/>
                <w:bCs/>
                <w:sz w:val="21"/>
                <w:szCs w:val="21"/>
                <w:vertAlign w:val="superscript"/>
              </w:rPr>
              <w:t>3</w:t>
            </w:r>
            <w:r>
              <w:rPr>
                <w:rFonts w:hint="default" w:ascii="Times New Roman" w:hAnsi="Times New Roman" w:eastAsia="仿宋" w:cs="Times New Roman"/>
                <w:b/>
                <w:bCs/>
                <w:sz w:val="21"/>
                <w:szCs w:val="21"/>
              </w:rPr>
              <w:t>）</w:t>
            </w:r>
          </w:p>
        </w:tc>
        <w:tc>
          <w:tcPr>
            <w:tcW w:w="57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监测点位/设施</w:t>
            </w:r>
          </w:p>
        </w:tc>
        <w:tc>
          <w:tcPr>
            <w:tcW w:w="4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监测时间</w:t>
            </w:r>
          </w:p>
        </w:tc>
        <w:tc>
          <w:tcPr>
            <w:tcW w:w="105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浓度监测结果（折标，小时浓度，mg/m3）</w:t>
            </w:r>
          </w:p>
        </w:tc>
        <w:tc>
          <w:tcPr>
            <w:tcW w:w="63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是否超标及超标原因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restar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sz w:val="21"/>
                <w:szCs w:val="21"/>
                <w:lang w:eastAsia="zh-CN"/>
              </w:rPr>
            </w:pPr>
            <w:r>
              <w:rPr>
                <w:rFonts w:hint="eastAsia" w:ascii="Times New Roman" w:hAnsi="Times New Roman" w:eastAsia="仿宋" w:cs="Times New Roman"/>
                <w:sz w:val="21"/>
                <w:szCs w:val="21"/>
                <w:lang w:val="en-US" w:eastAsia="zh-CN"/>
              </w:rPr>
              <w:t>1</w:t>
            </w:r>
          </w:p>
        </w:tc>
        <w:tc>
          <w:tcPr>
            <w:tcW w:w="733" w:type="pct"/>
            <w:vMerge w:val="restar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厂界</w:t>
            </w: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sz w:val="21"/>
                <w:szCs w:val="21"/>
                <w:lang w:eastAsia="zh-CN"/>
              </w:rPr>
            </w:pPr>
            <w:r>
              <w:rPr>
                <w:rFonts w:hint="eastAsia" w:ascii="Times New Roman" w:hAnsi="Times New Roman" w:eastAsia="仿宋" w:cs="Times New Roman"/>
                <w:sz w:val="21"/>
                <w:szCs w:val="21"/>
                <w:lang w:val="en-US" w:eastAsia="zh-CN"/>
              </w:rPr>
              <w:t>硫化氢</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0.03</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无组织自行监测点1</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0.013</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sz w:val="21"/>
                <w:szCs w:val="21"/>
                <w:lang w:eastAsia="zh-CN"/>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p>
        </w:tc>
        <w:tc>
          <w:tcPr>
            <w:tcW w:w="733"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sz w:val="21"/>
                <w:szCs w:val="21"/>
                <w:lang w:eastAsia="zh-CN"/>
              </w:rPr>
            </w:pPr>
            <w:r>
              <w:rPr>
                <w:rFonts w:hint="eastAsia" w:ascii="Times New Roman" w:hAnsi="Times New Roman" w:eastAsia="仿宋" w:cs="Times New Roman"/>
                <w:sz w:val="21"/>
                <w:szCs w:val="21"/>
                <w:lang w:val="en-US" w:eastAsia="zh-CN"/>
              </w:rPr>
              <w:t>臭气浓度</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10无量纲</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r>
              <w:rPr>
                <w:rFonts w:hint="eastAsia" w:ascii="Times New Roman" w:hAnsi="Times New Roman" w:eastAsia="仿宋" w:cs="Times New Roman"/>
                <w:sz w:val="21"/>
                <w:szCs w:val="21"/>
                <w:lang w:val="en-US" w:eastAsia="zh-CN"/>
              </w:rPr>
              <w:t>无组织自行监测点1</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&lt;</w:t>
            </w:r>
            <w:r>
              <w:rPr>
                <w:rFonts w:ascii="Times New Roman" w:hAnsi="Times New Roman" w:eastAsia="仿宋" w:cs="Times New Roman"/>
                <w:szCs w:val="21"/>
              </w:rPr>
              <w:t>10</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氨（氨气）</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1.0</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r>
              <w:rPr>
                <w:rFonts w:hint="eastAsia" w:ascii="Times New Roman" w:hAnsi="Times New Roman" w:eastAsia="仿宋" w:cs="Times New Roman"/>
                <w:sz w:val="21"/>
                <w:szCs w:val="21"/>
                <w:lang w:val="en-US" w:eastAsia="zh-CN"/>
              </w:rPr>
              <w:t>无组织自行监测点1</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0.012</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甲烷</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1%</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r>
              <w:rPr>
                <w:rFonts w:hint="eastAsia" w:ascii="Times New Roman" w:hAnsi="Times New Roman" w:eastAsia="仿宋" w:cs="Times New Roman"/>
                <w:sz w:val="21"/>
                <w:szCs w:val="21"/>
                <w:lang w:val="en-US" w:eastAsia="zh-CN"/>
              </w:rPr>
              <w:t>无组织自行监测点1</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1.62</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氯气</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0.1</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sz w:val="21"/>
                <w:szCs w:val="21"/>
              </w:rPr>
            </w:pPr>
            <w:r>
              <w:rPr>
                <w:rFonts w:hint="eastAsia" w:ascii="Times New Roman" w:hAnsi="Times New Roman" w:eastAsia="仿宋" w:cs="Times New Roman"/>
                <w:sz w:val="21"/>
                <w:szCs w:val="21"/>
                <w:lang w:val="en-US" w:eastAsia="zh-CN"/>
              </w:rPr>
              <w:t>无组织自行监测点2</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&lt;</w:t>
            </w:r>
            <w:r>
              <w:rPr>
                <w:rFonts w:ascii="Times New Roman" w:hAnsi="Times New Roman" w:eastAsia="仿宋" w:cs="Times New Roman"/>
                <w:szCs w:val="21"/>
              </w:rPr>
              <w:t>0.03</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restart"/>
            <w:tcBorders>
              <w:top w:val="single" w:color="000000" w:sz="6" w:space="0"/>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eastAsia"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2</w:t>
            </w:r>
          </w:p>
        </w:tc>
        <w:tc>
          <w:tcPr>
            <w:tcW w:w="733" w:type="pct"/>
            <w:vMerge w:val="restart"/>
            <w:tcBorders>
              <w:top w:val="single" w:color="000000" w:sz="6" w:space="0"/>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eastAsia"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厂界</w:t>
            </w: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硫化氢</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0.03</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无组织自行监测点2</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0</w:t>
            </w:r>
            <w:r>
              <w:rPr>
                <w:rFonts w:ascii="Times New Roman" w:hAnsi="Times New Roman" w:eastAsia="仿宋" w:cs="Times New Roman"/>
                <w:szCs w:val="21"/>
              </w:rPr>
              <w:t>.029</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臭气浓度</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10无量纲</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无组织自行监测点2</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&lt;</w:t>
            </w:r>
            <w:r>
              <w:rPr>
                <w:rFonts w:ascii="Times New Roman" w:hAnsi="Times New Roman" w:eastAsia="仿宋" w:cs="Times New Roman"/>
                <w:szCs w:val="21"/>
              </w:rPr>
              <w:t>10</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氨（氨气）</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1.0</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无组织自行监测点2</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0</w:t>
            </w:r>
            <w:r>
              <w:rPr>
                <w:rFonts w:ascii="Times New Roman" w:hAnsi="Times New Roman" w:eastAsia="仿宋" w:cs="Times New Roman"/>
                <w:szCs w:val="21"/>
              </w:rPr>
              <w:t>.017</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甲烷</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1%</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无组织自行监测点2</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2.20</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氯气</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0.1</w:t>
            </w:r>
            <w:bookmarkStart w:id="0" w:name="_GoBack"/>
            <w:bookmarkEnd w:id="0"/>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无组织自行监测点2</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&lt;</w:t>
            </w:r>
            <w:r>
              <w:rPr>
                <w:rFonts w:ascii="Times New Roman" w:hAnsi="Times New Roman" w:eastAsia="仿宋" w:cs="Times New Roman"/>
                <w:szCs w:val="21"/>
              </w:rPr>
              <w:t>0.03</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restart"/>
            <w:tcBorders>
              <w:top w:val="single" w:color="000000" w:sz="6" w:space="0"/>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eastAsia"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3</w:t>
            </w:r>
          </w:p>
        </w:tc>
        <w:tc>
          <w:tcPr>
            <w:tcW w:w="733" w:type="pct"/>
            <w:vMerge w:val="restart"/>
            <w:tcBorders>
              <w:top w:val="single" w:color="000000" w:sz="6" w:space="0"/>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eastAsia" w:ascii="Times New Roman" w:hAnsi="Times New Roman" w:eastAsia="仿宋" w:cs="Times New Roman"/>
                <w:sz w:val="21"/>
                <w:szCs w:val="21"/>
                <w:lang w:val="en-US" w:eastAsia="zh-CN"/>
              </w:rPr>
            </w:pPr>
            <w:r>
              <w:rPr>
                <w:rFonts w:hint="eastAsia" w:ascii="Times New Roman" w:hAnsi="Times New Roman" w:eastAsia="仿宋" w:cs="Times New Roman"/>
                <w:sz w:val="21"/>
                <w:szCs w:val="21"/>
                <w:lang w:val="en-US" w:eastAsia="zh-CN"/>
              </w:rPr>
              <w:t>厂界</w:t>
            </w: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硫化氢</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0.03</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无组织自行监测点3</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0.029</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臭气浓度</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10无量纲</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无组织自行监测点3</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&lt;</w:t>
            </w:r>
            <w:r>
              <w:rPr>
                <w:rFonts w:ascii="Times New Roman" w:hAnsi="Times New Roman" w:eastAsia="仿宋" w:cs="Times New Roman"/>
                <w:szCs w:val="21"/>
              </w:rPr>
              <w:t>10</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氨（氨气）</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1.0</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无组织自行监测点3</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0.028</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69"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甲烷</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1%</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无组织自行监测点3</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ascii="Times New Roman" w:hAnsi="Times New Roman" w:eastAsia="仿宋" w:cs="Times New Roman"/>
                <w:szCs w:val="21"/>
              </w:rPr>
              <w:t>2.21</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269" w:type="pct"/>
            <w:vMerge w:val="continue"/>
            <w:tcBorders>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733" w:type="pct"/>
            <w:vMerge w:val="continue"/>
            <w:tcBorders>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jc w:val="center"/>
              <w:rPr>
                <w:rFonts w:hint="default" w:ascii="Times New Roman" w:hAnsi="Times New Roman" w:eastAsia="仿宋" w:cs="Times New Roman"/>
                <w:sz w:val="21"/>
                <w:szCs w:val="21"/>
              </w:rPr>
            </w:pPr>
          </w:p>
        </w:tc>
        <w:tc>
          <w:tcPr>
            <w:tcW w:w="50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氯气</w:t>
            </w:r>
          </w:p>
        </w:tc>
        <w:tc>
          <w:tcPr>
            <w:tcW w:w="77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0.1</w:t>
            </w:r>
          </w:p>
        </w:tc>
        <w:tc>
          <w:tcPr>
            <w:tcW w:w="571"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eastAsia"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无组织自行监测点3</w:t>
            </w:r>
          </w:p>
        </w:tc>
        <w:tc>
          <w:tcPr>
            <w:tcW w:w="4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2</w:t>
            </w:r>
            <w:r>
              <w:rPr>
                <w:rFonts w:ascii="Times New Roman" w:hAnsi="Times New Roman" w:eastAsia="仿宋" w:cs="Times New Roman"/>
                <w:szCs w:val="21"/>
              </w:rPr>
              <w:t>022.3.25</w:t>
            </w:r>
          </w:p>
        </w:tc>
        <w:tc>
          <w:tcPr>
            <w:tcW w:w="1054"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widowControl/>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Cs w:val="21"/>
              </w:rPr>
              <w:t>&lt;</w:t>
            </w:r>
            <w:r>
              <w:rPr>
                <w:rFonts w:ascii="Times New Roman" w:hAnsi="Times New Roman" w:eastAsia="仿宋" w:cs="Times New Roman"/>
                <w:szCs w:val="21"/>
              </w:rPr>
              <w:t>0.03</w:t>
            </w:r>
          </w:p>
        </w:tc>
        <w:tc>
          <w:tcPr>
            <w:tcW w:w="63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pPr>
              <w:keepNext w:val="0"/>
              <w:keepLines w:val="0"/>
              <w:widowControl/>
              <w:suppressLineNumbers w:val="0"/>
              <w:jc w:val="center"/>
              <w:rPr>
                <w:rFonts w:hint="default" w:ascii="Times New Roman" w:hAnsi="Times New Roman" w:eastAsia="仿宋" w:cs="Times New Roman"/>
                <w:kern w:val="2"/>
                <w:sz w:val="21"/>
                <w:szCs w:val="21"/>
                <w:lang w:val="en-US" w:eastAsia="zh-CN" w:bidi="ar-SA"/>
              </w:rPr>
            </w:pPr>
            <w:r>
              <w:rPr>
                <w:rFonts w:hint="eastAsia" w:ascii="Times New Roman" w:hAnsi="Times New Roman" w:eastAsia="仿宋" w:cs="Times New Roman"/>
                <w:sz w:val="21"/>
                <w:szCs w:val="21"/>
                <w:lang w:val="en-US" w:eastAsia="zh-CN"/>
              </w:rPr>
              <w:t>否</w:t>
            </w: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lang w:val="en-US" w:eastAsia="zh-CN"/>
          <w14:textFill>
            <w14:solidFill>
              <w14:schemeClr w14:val="tx1"/>
            </w14:solidFill>
          </w14:textFill>
        </w:rPr>
        <w:t>c、噪声排放</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9"/>
        <w:gridCol w:w="1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pct"/>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类型</w:t>
            </w:r>
          </w:p>
        </w:tc>
        <w:tc>
          <w:tcPr>
            <w:tcW w:w="4054" w:type="pct"/>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噪声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pct"/>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监测点</w:t>
            </w:r>
          </w:p>
        </w:tc>
        <w:tc>
          <w:tcPr>
            <w:tcW w:w="4054" w:type="pct"/>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厂界东、南、西、北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pct"/>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执行的标准</w:t>
            </w:r>
          </w:p>
        </w:tc>
        <w:tc>
          <w:tcPr>
            <w:tcW w:w="4054" w:type="pct"/>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《工业企业厂界噪声标准》(GB12348-2008)</w:t>
            </w: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3类标准</w:t>
            </w: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3"/>
        <w:gridCol w:w="4424"/>
        <w:gridCol w:w="4163"/>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3"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监测点位</w:t>
            </w:r>
          </w:p>
        </w:tc>
        <w:tc>
          <w:tcPr>
            <w:tcW w:w="4424"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监测时间</w:t>
            </w:r>
          </w:p>
        </w:tc>
        <w:tc>
          <w:tcPr>
            <w:tcW w:w="4163"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Led值（昼）</w:t>
            </w:r>
          </w:p>
        </w:tc>
        <w:tc>
          <w:tcPr>
            <w:tcW w:w="3544"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Led值（</w:t>
            </w:r>
            <w:r>
              <w:rPr>
                <w:rFonts w:hint="eastAsia" w:ascii="Times New Roman" w:eastAsia="仿宋" w:cs="Times New Roman"/>
                <w:b/>
                <w:bCs/>
                <w:color w:val="000000" w:themeColor="text1"/>
                <w:sz w:val="24"/>
                <w:szCs w:val="24"/>
                <w:vertAlign w:val="baseline"/>
                <w:lang w:val="en-US" w:eastAsia="zh-CN"/>
                <w14:textFill>
                  <w14:solidFill>
                    <w14:schemeClr w14:val="tx1"/>
                  </w14:solidFill>
                </w14:textFill>
              </w:rPr>
              <w:t>夜</w:t>
            </w: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3"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东厂界</w:t>
            </w:r>
          </w:p>
        </w:tc>
        <w:tc>
          <w:tcPr>
            <w:tcW w:w="44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2022年3月25日</w:t>
            </w:r>
          </w:p>
        </w:tc>
        <w:tc>
          <w:tcPr>
            <w:tcW w:w="4163"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57.3</w:t>
            </w:r>
          </w:p>
        </w:tc>
        <w:tc>
          <w:tcPr>
            <w:tcW w:w="354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3"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南厂界</w:t>
            </w:r>
          </w:p>
        </w:tc>
        <w:tc>
          <w:tcPr>
            <w:tcW w:w="44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bidi="ar-SA"/>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2022年3月25日</w:t>
            </w:r>
          </w:p>
        </w:tc>
        <w:tc>
          <w:tcPr>
            <w:tcW w:w="4163"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52.7</w:t>
            </w:r>
          </w:p>
        </w:tc>
        <w:tc>
          <w:tcPr>
            <w:tcW w:w="354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3"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b/>
                <w:bCs/>
                <w:color w:val="000000" w:themeColor="text1"/>
                <w:sz w:val="24"/>
                <w:szCs w:val="24"/>
                <w:vertAlign w:val="baseline"/>
                <w:lang w:val="en-US" w:eastAsia="zh-CN"/>
                <w14:textFill>
                  <w14:solidFill>
                    <w14:schemeClr w14:val="tx1"/>
                  </w14:solidFill>
                </w14:textFill>
              </w:rPr>
              <w:t>西厂界</w:t>
            </w:r>
          </w:p>
        </w:tc>
        <w:tc>
          <w:tcPr>
            <w:tcW w:w="44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bidi="ar-SA"/>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2022年3月25日</w:t>
            </w:r>
          </w:p>
        </w:tc>
        <w:tc>
          <w:tcPr>
            <w:tcW w:w="4163"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52.5</w:t>
            </w:r>
          </w:p>
        </w:tc>
        <w:tc>
          <w:tcPr>
            <w:tcW w:w="354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3"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b/>
                <w:bCs/>
                <w:color w:val="000000" w:themeColor="text1"/>
                <w:sz w:val="24"/>
                <w:szCs w:val="24"/>
                <w:vertAlign w:val="baseline"/>
                <w:lang w:val="en-US" w:eastAsia="zh-CN"/>
                <w14:textFill>
                  <w14:solidFill>
                    <w14:schemeClr w14:val="tx1"/>
                  </w14:solidFill>
                </w14:textFill>
              </w:rPr>
              <w:t>北厂界</w:t>
            </w:r>
          </w:p>
        </w:tc>
        <w:tc>
          <w:tcPr>
            <w:tcW w:w="44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bidi="ar-SA"/>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2022年3月25日</w:t>
            </w:r>
          </w:p>
        </w:tc>
        <w:tc>
          <w:tcPr>
            <w:tcW w:w="4163"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57.0</w:t>
            </w:r>
          </w:p>
        </w:tc>
        <w:tc>
          <w:tcPr>
            <w:tcW w:w="354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46.3</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3）工业固体废物和危险废物产生、贮存、流向、利用、处置</w:t>
      </w:r>
    </w:p>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a、危险废物</w:t>
      </w:r>
    </w:p>
    <w:tbl>
      <w:tblPr>
        <w:tblStyle w:val="1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3"/>
        <w:gridCol w:w="1642"/>
        <w:gridCol w:w="1846"/>
        <w:gridCol w:w="2104"/>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废物类别</w:t>
            </w:r>
          </w:p>
        </w:tc>
        <w:tc>
          <w:tcPr>
            <w:tcW w:w="579"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废物代码</w:t>
            </w:r>
          </w:p>
        </w:tc>
        <w:tc>
          <w:tcPr>
            <w:tcW w:w="651"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废物名称</w:t>
            </w:r>
          </w:p>
        </w:tc>
        <w:tc>
          <w:tcPr>
            <w:tcW w:w="742" w:type="pct"/>
            <w:vAlign w:val="center"/>
          </w:tcPr>
          <w:p>
            <w:pPr>
              <w:pStyle w:val="2"/>
              <w:jc w:val="cente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委托处置单位</w:t>
            </w:r>
          </w:p>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（许可证编号）</w:t>
            </w:r>
          </w:p>
        </w:tc>
        <w:tc>
          <w:tcPr>
            <w:tcW w:w="625"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期初库存（吨）</w:t>
            </w:r>
          </w:p>
        </w:tc>
        <w:tc>
          <w:tcPr>
            <w:tcW w:w="625"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产生量（吨）</w:t>
            </w:r>
          </w:p>
        </w:tc>
        <w:tc>
          <w:tcPr>
            <w:tcW w:w="625"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转移量（吨）</w:t>
            </w:r>
          </w:p>
        </w:tc>
        <w:tc>
          <w:tcPr>
            <w:tcW w:w="625" w:type="pct"/>
            <w:vAlign w:val="center"/>
          </w:tcPr>
          <w:p>
            <w:pPr>
              <w:pStyle w:val="2"/>
              <w:jc w:val="center"/>
              <w:rPr>
                <w:rFonts w:hint="default" w:ascii="Times New Roman" w:hAnsi="Times New Roman" w:eastAsia="仿宋"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1"/>
                <w:szCs w:val="21"/>
                <w:vertAlign w:val="baseline"/>
                <w:lang w:val="en-US" w:eastAsia="zh-CN"/>
                <w14:textFill>
                  <w14:solidFill>
                    <w14:schemeClr w14:val="tx1"/>
                  </w14:solidFill>
                </w14:textFill>
              </w:rPr>
              <w:t>期末库存（吨）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HW01医疗废物</w:t>
            </w:r>
          </w:p>
        </w:tc>
        <w:tc>
          <w:tcPr>
            <w:tcW w:w="579"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841</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-0</w:t>
            </w: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0</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1-</w:t>
            </w: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01</w:t>
            </w:r>
          </w:p>
        </w:tc>
        <w:tc>
          <w:tcPr>
            <w:tcW w:w="651"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感染性废物</w:t>
            </w:r>
          </w:p>
        </w:tc>
        <w:tc>
          <w:tcPr>
            <w:tcW w:w="742" w:type="pct"/>
            <w:vAlign w:val="center"/>
          </w:tcPr>
          <w:p>
            <w:pPr>
              <w:pStyle w:val="2"/>
              <w:jc w:val="cente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芜湖蓝生医疗废物集中处置有限责任公司</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w:t>
            </w: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340203003</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0</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148.8</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148.8</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HW01医疗废物</w:t>
            </w:r>
          </w:p>
        </w:tc>
        <w:tc>
          <w:tcPr>
            <w:tcW w:w="579"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841-002-01</w:t>
            </w:r>
          </w:p>
        </w:tc>
        <w:tc>
          <w:tcPr>
            <w:tcW w:w="651"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损伤性废物</w:t>
            </w:r>
          </w:p>
        </w:tc>
        <w:tc>
          <w:tcPr>
            <w:tcW w:w="742" w:type="pct"/>
            <w:vAlign w:val="center"/>
          </w:tcPr>
          <w:p>
            <w:pPr>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芜湖蓝生医疗废物集中处置有限责任</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w:t>
            </w: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340203003</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0</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8.78</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8.78</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HW01医疗废物</w:t>
            </w:r>
          </w:p>
        </w:tc>
        <w:tc>
          <w:tcPr>
            <w:tcW w:w="579"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841-003-01</w:t>
            </w:r>
          </w:p>
        </w:tc>
        <w:tc>
          <w:tcPr>
            <w:tcW w:w="651"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病理性废物</w:t>
            </w:r>
          </w:p>
        </w:tc>
        <w:tc>
          <w:tcPr>
            <w:tcW w:w="742" w:type="pct"/>
            <w:vAlign w:val="center"/>
          </w:tcPr>
          <w:p>
            <w:pPr>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芜湖蓝生医疗废物集中处置有限责任</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w:t>
            </w: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340203003</w:t>
            </w: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1"/>
                <w:szCs w:val="21"/>
                <w:vertAlign w:val="baseline"/>
                <w:lang w:val="en-US" w:eastAsia="zh-CN"/>
                <w14:textFill>
                  <w14:solidFill>
                    <w14:schemeClr w14:val="tx1"/>
                  </w14:solidFill>
                </w14:textFill>
              </w:rPr>
              <w:t>0</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0.65</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8.78</w:t>
            </w:r>
          </w:p>
        </w:tc>
        <w:tc>
          <w:tcPr>
            <w:tcW w:w="625" w:type="pct"/>
            <w:vAlign w:val="center"/>
          </w:tcPr>
          <w:p>
            <w:pPr>
              <w:pStyle w:val="2"/>
              <w:jc w:val="center"/>
              <w:rPr>
                <w:rFonts w:hint="default" w:ascii="Times New Roman" w:hAnsi="Times New Roman" w:eastAsia="仿宋" w:cs="Times New Roman"/>
                <w:color w:val="000000" w:themeColor="text1"/>
                <w:sz w:val="21"/>
                <w:szCs w:val="21"/>
                <w:vertAlign w:val="baseline"/>
                <w:lang w:val="en-US" w:eastAsia="zh-CN"/>
                <w14:textFill>
                  <w14:solidFill>
                    <w14:schemeClr w14:val="tx1"/>
                  </w14:solidFill>
                </w14:textFill>
              </w:rPr>
            </w:pPr>
            <w:r>
              <w:rPr>
                <w:rFonts w:hint="eastAsia" w:ascii="Times New Roman" w:eastAsia="仿宋" w:cs="Times New Roman"/>
                <w:color w:val="000000" w:themeColor="text1"/>
                <w:sz w:val="21"/>
                <w:szCs w:val="21"/>
                <w:vertAlign w:val="baseline"/>
                <w:lang w:val="en-US" w:eastAsia="zh-CN"/>
                <w14:textFill>
                  <w14:solidFill>
                    <w14:schemeClr w14:val="tx1"/>
                  </w14:solidFill>
                </w14:textFill>
              </w:rPr>
              <w:t>0</w:t>
            </w: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4）自行监测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7"/>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7" w:type="dxa"/>
            <w:vAlign w:val="center"/>
          </w:tcPr>
          <w:p>
            <w:pPr>
              <w:pStyle w:val="2"/>
              <w:spacing w:line="360" w:lineRule="auto"/>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主要内容</w:t>
            </w:r>
          </w:p>
        </w:tc>
        <w:tc>
          <w:tcPr>
            <w:tcW w:w="7087" w:type="dxa"/>
            <w:vAlign w:val="center"/>
          </w:tcPr>
          <w:p>
            <w:pPr>
              <w:pStyle w:val="2"/>
              <w:spacing w:line="360" w:lineRule="auto"/>
              <w:jc w:val="both"/>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环境自行监测方案详见《</w:t>
            </w: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皖南医学院第二附属医院</w:t>
            </w: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自行监测方案》</w:t>
            </w:r>
          </w:p>
          <w:p>
            <w:pPr>
              <w:pStyle w:val="2"/>
              <w:spacing w:line="360" w:lineRule="auto"/>
              <w:jc w:val="both"/>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信息发布位置：安徽省排污单位自行监测信息发布平台</w:t>
            </w:r>
          </w:p>
          <w:p>
            <w:pPr>
              <w:pStyle w:val="2"/>
              <w:spacing w:line="360" w:lineRule="auto"/>
              <w:jc w:val="both"/>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网址：http://39.145.0.253:8081/management</w:t>
            </w: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四、碳排放信息</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4"/>
        <w:gridCol w:w="4725"/>
        <w:gridCol w:w="4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4"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范畴</w:t>
            </w:r>
          </w:p>
        </w:tc>
        <w:tc>
          <w:tcPr>
            <w:tcW w:w="4725"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排放量（tCO</w:t>
            </w:r>
            <w:r>
              <w:rPr>
                <w:rFonts w:hint="eastAsia" w:ascii="Times New Roman" w:hAnsi="Times New Roman" w:eastAsia="仿宋" w:cs="Times New Roman"/>
                <w:b/>
                <w:bCs/>
                <w:color w:val="000000" w:themeColor="text1"/>
                <w:sz w:val="24"/>
                <w:szCs w:val="24"/>
                <w:vertAlign w:val="subscript"/>
                <w:lang w:val="en-US" w:eastAsia="zh-CN"/>
                <w14:textFill>
                  <w14:solidFill>
                    <w14:schemeClr w14:val="tx1"/>
                  </w14:solidFill>
                </w14:textFill>
              </w:rPr>
              <w:t>2</w:t>
            </w: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e）</w:t>
            </w:r>
          </w:p>
        </w:tc>
        <w:tc>
          <w:tcPr>
            <w:tcW w:w="4725" w:type="dxa"/>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排放量占比（%）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范围1 直接温室气体排放</w:t>
            </w:r>
          </w:p>
        </w:tc>
        <w:tc>
          <w:tcPr>
            <w:tcW w:w="4725"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c>
          <w:tcPr>
            <w:tcW w:w="4725"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范围2 能源间接温室气体排放</w:t>
            </w:r>
          </w:p>
        </w:tc>
        <w:tc>
          <w:tcPr>
            <w:tcW w:w="4725"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c>
          <w:tcPr>
            <w:tcW w:w="4725"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4"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温室气体总排放量（2021年度）</w:t>
            </w:r>
          </w:p>
        </w:tc>
        <w:tc>
          <w:tcPr>
            <w:tcW w:w="4725"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c>
          <w:tcPr>
            <w:tcW w:w="4725"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五、生态环境应急信息</w:t>
      </w: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0"/>
        <w:gridCol w:w="3544"/>
        <w:gridCol w:w="3541"/>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gridSpan w:val="2"/>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突发环境事件应急预案备案部门</w:t>
            </w:r>
          </w:p>
        </w:tc>
        <w:tc>
          <w:tcPr>
            <w:tcW w:w="2500" w:type="pct"/>
            <w:gridSpan w:val="2"/>
            <w:vAlign w:val="center"/>
          </w:tcPr>
          <w:p>
            <w:pPr>
              <w:pStyle w:val="2"/>
              <w:jc w:val="cente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芜湖市生态环境局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备案编号</w:t>
            </w:r>
          </w:p>
        </w:tc>
        <w:tc>
          <w:tcPr>
            <w:tcW w:w="1250" w:type="pct"/>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c>
          <w:tcPr>
            <w:tcW w:w="1249" w:type="pct"/>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备案时间</w:t>
            </w:r>
          </w:p>
        </w:tc>
        <w:tc>
          <w:tcPr>
            <w:tcW w:w="1250" w:type="pct"/>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风险级别</w:t>
            </w:r>
          </w:p>
        </w:tc>
        <w:tc>
          <w:tcPr>
            <w:tcW w:w="3750" w:type="pct"/>
            <w:gridSpan w:val="3"/>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eastAsia="仿宋" w:cs="Times New Roman"/>
                <w:color w:val="000000" w:themeColor="text1"/>
                <w:sz w:val="24"/>
                <w:szCs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pStyle w:val="2"/>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重污染天气相应</w:t>
            </w:r>
          </w:p>
        </w:tc>
        <w:tc>
          <w:tcPr>
            <w:tcW w:w="3750" w:type="pct"/>
            <w:gridSpan w:val="3"/>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六、生态违法信息</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68"/>
        <w:gridCol w:w="10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68"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违法信息</w:t>
            </w:r>
          </w:p>
        </w:tc>
        <w:tc>
          <w:tcPr>
            <w:tcW w:w="10606"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bl>
    <w:p>
      <w:pPr>
        <w:pStyle w:val="2"/>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七、本年度临时环境信息披露情况</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68"/>
        <w:gridCol w:w="10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临时环境信息</w:t>
            </w:r>
          </w:p>
        </w:tc>
        <w:tc>
          <w:tcPr>
            <w:tcW w:w="10606" w:type="dxa"/>
            <w:vAlign w:val="center"/>
          </w:tcPr>
          <w:p>
            <w:pPr>
              <w:pStyle w:val="2"/>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vertAlign w:val="baseline"/>
                <w:lang w:val="en-US" w:eastAsia="zh-CN"/>
                <w14:textFill>
                  <w14:solidFill>
                    <w14:schemeClr w14:val="tx1"/>
                  </w14:solidFill>
                </w14:textFill>
              </w:rPr>
              <w:t>无</w:t>
            </w:r>
          </w:p>
        </w:tc>
      </w:tr>
    </w:tbl>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b/>
          <w:bCs/>
          <w:color w:val="000000" w:themeColor="text1"/>
          <w:sz w:val="28"/>
          <w:szCs w:val="28"/>
          <w:lang w:val="en-US" w:eastAsia="zh-CN"/>
          <w14:textFill>
            <w14:solidFill>
              <w14:schemeClr w14:val="tx1"/>
            </w14:solidFill>
          </w14:textFill>
        </w:rPr>
      </w:pPr>
      <w:r>
        <w:rPr>
          <w:rFonts w:hint="eastAsia" w:ascii="Times New Roman" w:hAnsi="Times New Roman" w:eastAsia="仿宋" w:cs="Times New Roman"/>
          <w:b/>
          <w:bCs/>
          <w:color w:val="000000" w:themeColor="text1"/>
          <w:sz w:val="28"/>
          <w:szCs w:val="28"/>
          <w:lang w:val="en-US" w:eastAsia="zh-CN"/>
          <w14:textFill>
            <w14:solidFill>
              <w14:schemeClr w14:val="tx1"/>
            </w14:solidFill>
          </w14:textFill>
        </w:rPr>
        <w:t>八、其他应当公开的环境信息</w:t>
      </w:r>
    </w:p>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无</w:t>
      </w:r>
    </w:p>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p>
      <w:pPr>
        <w:pStyle w:val="2"/>
        <w:rPr>
          <w:rFonts w:hint="default" w:ascii="Times New Roman" w:hAnsi="Times New Roman" w:eastAsia="仿宋" w:cs="Times New Roman"/>
          <w:color w:val="000000" w:themeColor="text1"/>
          <w:sz w:val="24"/>
          <w:szCs w:val="24"/>
          <w:lang w:val="en-US" w:eastAsia="zh-CN"/>
          <w14:textFill>
            <w14:solidFill>
              <w14:schemeClr w14:val="tx1"/>
            </w14:solidFill>
          </w14:textFill>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000000" w:themeColor="text1"/>
          <w:sz w:val="24"/>
          <w:szCs w:val="24"/>
          <w:lang w:val="en-US" w:eastAsia="zh-CN"/>
          <w14:textFill>
            <w14:solidFill>
              <w14:schemeClr w14:val="tx1"/>
            </w14:solidFill>
          </w14:textFill>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49369B"/>
    <w:multiLevelType w:val="multilevel"/>
    <w:tmpl w:val="F749369B"/>
    <w:lvl w:ilvl="0" w:tentative="0">
      <w:start w:val="1"/>
      <w:numFmt w:val="decimal"/>
      <w:lvlText w:val="%1"/>
      <w:lvlJc w:val="left"/>
      <w:pPr>
        <w:tabs>
          <w:tab w:val="left" w:pos="432"/>
        </w:tabs>
        <w:ind w:left="432" w:hanging="432"/>
      </w:pPr>
    </w:lvl>
    <w:lvl w:ilvl="1" w:tentative="0">
      <w:start w:val="1"/>
      <w:numFmt w:val="decimal"/>
      <w:pStyle w:val="4"/>
      <w:lvlText w:val="%1.%2"/>
      <w:lvlJc w:val="left"/>
      <w:pPr>
        <w:tabs>
          <w:tab w:val="left" w:pos="860"/>
        </w:tabs>
        <w:ind w:left="860" w:hanging="576"/>
      </w:pPr>
      <w:rPr>
        <w:rFonts w:hint="default"/>
      </w:rPr>
    </w:lvl>
    <w:lvl w:ilvl="2" w:tentative="0">
      <w:start w:val="1"/>
      <w:numFmt w:val="decimal"/>
      <w:lvlText w:val="%1.%2.%3"/>
      <w:lvlJc w:val="left"/>
      <w:pPr>
        <w:tabs>
          <w:tab w:val="left" w:pos="862"/>
        </w:tabs>
        <w:ind w:left="862"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
    <w:nsid w:val="685A84AB"/>
    <w:multiLevelType w:val="multilevel"/>
    <w:tmpl w:val="685A84AB"/>
    <w:lvl w:ilvl="0" w:tentative="0">
      <w:start w:val="1"/>
      <w:numFmt w:val="decimal"/>
      <w:pStyle w:val="3"/>
      <w:lvlText w:val="%1"/>
      <w:lvlJc w:val="left"/>
      <w:pPr>
        <w:ind w:left="432" w:hanging="432"/>
      </w:pPr>
      <w:rPr>
        <w:rFonts w:hint="default" w:ascii="Times New Roman" w:hAnsi="Times New Roman" w:eastAsia="宋体" w:cs="宋体"/>
        <w:b/>
        <w:sz w:val="32"/>
      </w:rPr>
    </w:lvl>
    <w:lvl w:ilvl="1" w:tentative="0">
      <w:start w:val="1"/>
      <w:numFmt w:val="decimal"/>
      <w:lvlText w:val="%1.%2"/>
      <w:lvlJc w:val="left"/>
      <w:pPr>
        <w:tabs>
          <w:tab w:val="left" w:pos="567"/>
        </w:tabs>
        <w:ind w:left="0" w:firstLine="0"/>
      </w:pPr>
      <w:rPr>
        <w:rFonts w:hint="default" w:ascii="Times New Roman" w:hAnsi="Times New Roman" w:eastAsia="宋体" w:cs="宋体"/>
        <w:b/>
        <w:sz w:val="30"/>
      </w:rPr>
    </w:lvl>
    <w:lvl w:ilvl="2" w:tentative="0">
      <w:start w:val="1"/>
      <w:numFmt w:val="decimal"/>
      <w:pStyle w:val="5"/>
      <w:lvlText w:val="%1.%2.%3"/>
      <w:lvlJc w:val="left"/>
      <w:pPr>
        <w:tabs>
          <w:tab w:val="left" w:pos="567"/>
        </w:tabs>
        <w:ind w:left="0" w:firstLine="0"/>
      </w:pPr>
      <w:rPr>
        <w:rFonts w:hint="default" w:ascii="Times New Roman" w:hAnsi="Times New Roman" w:eastAsia="宋体" w:cs="Times New Roman"/>
        <w:b/>
        <w:color w:val="000000" w:themeColor="text1"/>
        <w:kern w:val="2"/>
        <w:sz w:val="28"/>
        <w:szCs w:val="28"/>
        <w14:textFill>
          <w14:solidFill>
            <w14:schemeClr w14:val="tx1"/>
          </w14:solidFill>
        </w14:textFill>
      </w:rPr>
    </w:lvl>
    <w:lvl w:ilvl="3" w:tentative="0">
      <w:start w:val="1"/>
      <w:numFmt w:val="decimal"/>
      <w:pStyle w:val="6"/>
      <w:lvlText w:val="%1.%2.%3.%4."/>
      <w:lvlJc w:val="left"/>
      <w:pPr>
        <w:ind w:left="1715"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jM2U5NGFkOGY2NmNmMGNjNzUxOTAxNGJjZDAxMWMifQ=="/>
  </w:docVars>
  <w:rsids>
    <w:rsidRoot w:val="653A67DB"/>
    <w:rsid w:val="08AC78BF"/>
    <w:rsid w:val="0E3C3455"/>
    <w:rsid w:val="0E927479"/>
    <w:rsid w:val="12A33336"/>
    <w:rsid w:val="14A1649C"/>
    <w:rsid w:val="21327ED4"/>
    <w:rsid w:val="24422582"/>
    <w:rsid w:val="26730968"/>
    <w:rsid w:val="2A201322"/>
    <w:rsid w:val="2A7152CD"/>
    <w:rsid w:val="2E9268E4"/>
    <w:rsid w:val="311D5BEE"/>
    <w:rsid w:val="315B2E44"/>
    <w:rsid w:val="3AAB3D62"/>
    <w:rsid w:val="3D631E7B"/>
    <w:rsid w:val="46AC6D0B"/>
    <w:rsid w:val="4E80573C"/>
    <w:rsid w:val="626946DC"/>
    <w:rsid w:val="64E47CCE"/>
    <w:rsid w:val="653A67DB"/>
    <w:rsid w:val="66152F0E"/>
    <w:rsid w:val="67D158BD"/>
    <w:rsid w:val="68617801"/>
    <w:rsid w:val="70C85F2A"/>
    <w:rsid w:val="7181177A"/>
    <w:rsid w:val="7E1A5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numPr>
        <w:ilvl w:val="0"/>
        <w:numId w:val="1"/>
      </w:numPr>
      <w:spacing w:line="360" w:lineRule="auto"/>
      <w:ind w:left="432" w:right="0" w:hanging="432"/>
      <w:jc w:val="center"/>
      <w:outlineLvl w:val="0"/>
    </w:pPr>
    <w:rPr>
      <w:rFonts w:ascii="Times New Roman" w:hAnsi="Times New Roman" w:eastAsia="宋体" w:cs="黑体"/>
      <w:b/>
      <w:sz w:val="32"/>
      <w:szCs w:val="32"/>
      <w:lang w:val="zh-CN" w:bidi="zh-CN"/>
    </w:rPr>
  </w:style>
  <w:style w:type="paragraph" w:styleId="4">
    <w:name w:val="heading 2"/>
    <w:basedOn w:val="1"/>
    <w:next w:val="1"/>
    <w:semiHidden/>
    <w:unhideWhenUsed/>
    <w:qFormat/>
    <w:uiPriority w:val="0"/>
    <w:pPr>
      <w:keepNext/>
      <w:keepLines/>
      <w:numPr>
        <w:ilvl w:val="1"/>
        <w:numId w:val="2"/>
      </w:numPr>
      <w:spacing w:line="360" w:lineRule="auto"/>
      <w:ind w:left="0" w:firstLine="0"/>
      <w:outlineLvl w:val="1"/>
    </w:pPr>
    <w:rPr>
      <w:rFonts w:ascii="Times New Roman" w:hAnsi="Times New Roman" w:eastAsia="宋体"/>
      <w:b/>
      <w:bCs/>
      <w:sz w:val="30"/>
      <w:szCs w:val="28"/>
    </w:rPr>
  </w:style>
  <w:style w:type="paragraph" w:styleId="5">
    <w:name w:val="heading 3"/>
    <w:basedOn w:val="1"/>
    <w:next w:val="1"/>
    <w:semiHidden/>
    <w:unhideWhenUsed/>
    <w:qFormat/>
    <w:uiPriority w:val="0"/>
    <w:pPr>
      <w:keepNext/>
      <w:keepLines/>
      <w:numPr>
        <w:ilvl w:val="2"/>
        <w:numId w:val="1"/>
      </w:numPr>
      <w:spacing w:beforeLines="0" w:beforeAutospacing="0" w:afterLines="0" w:afterAutospacing="0" w:line="360" w:lineRule="auto"/>
      <w:outlineLvl w:val="2"/>
    </w:pPr>
    <w:rPr>
      <w:rFonts w:ascii="Times New Roman" w:hAnsi="Times New Roman" w:eastAsiaTheme="minorEastAsia"/>
      <w:b/>
      <w:sz w:val="28"/>
      <w:szCs w:val="28"/>
    </w:rPr>
  </w:style>
  <w:style w:type="paragraph" w:styleId="6">
    <w:name w:val="heading 4"/>
    <w:basedOn w:val="1"/>
    <w:next w:val="1"/>
    <w:link w:val="17"/>
    <w:semiHidden/>
    <w:unhideWhenUsed/>
    <w:qFormat/>
    <w:uiPriority w:val="0"/>
    <w:pPr>
      <w:keepNext/>
      <w:keepLines/>
      <w:numPr>
        <w:ilvl w:val="3"/>
        <w:numId w:val="1"/>
      </w:numPr>
      <w:spacing w:line="360" w:lineRule="auto"/>
      <w:ind w:left="0" w:firstLine="0"/>
      <w:outlineLvl w:val="3"/>
    </w:pPr>
    <w:rPr>
      <w:rFonts w:ascii="Times New Roman" w:hAnsi="Times New Roman" w:eastAsia="宋体"/>
      <w:b/>
      <w:color w:val="000000" w:themeColor="text1"/>
      <w:sz w:val="24"/>
      <w:szCs w:val="24"/>
      <w14:textFill>
        <w14:solidFill>
          <w14:schemeClr w14:val="tx1"/>
        </w14:solidFill>
      </w14:textFill>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qFormat/>
    <w:uiPriority w:val="0"/>
    <w:rPr>
      <w:color w:val="0000FF"/>
      <w:u w:val="single"/>
    </w:rPr>
  </w:style>
  <w:style w:type="character" w:customStyle="1" w:styleId="17">
    <w:name w:val="标题 4 Char"/>
    <w:basedOn w:val="15"/>
    <w:link w:val="6"/>
    <w:qFormat/>
    <w:uiPriority w:val="0"/>
    <w:rPr>
      <w:rFonts w:ascii="Times New Roman" w:hAnsi="Times New Roman" w:eastAsia="宋体" w:cstheme="minorBidi"/>
      <w:b/>
      <w:color w:val="000000" w:themeColor="text1"/>
      <w:kern w:val="2"/>
      <w:sz w:val="24"/>
      <w:szCs w:val="24"/>
      <w14:textFill>
        <w14:solidFill>
          <w14:schemeClr w14:val="tx1"/>
        </w14:solidFill>
      </w14:textFill>
    </w:rPr>
  </w:style>
  <w:style w:type="paragraph" w:customStyle="1" w:styleId="1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2100</Words>
  <Characters>2489</Characters>
  <Lines>0</Lines>
  <Paragraphs>0</Paragraphs>
  <TotalTime>8</TotalTime>
  <ScaleCrop>false</ScaleCrop>
  <LinksUpToDate>false</LinksUpToDate>
  <CharactersWithSpaces>2491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2022-04-27T03:00:00Z</dcterms:created>
  <dc:creator>Vevina～卉</dc:creator>
  <cp:lastModifiedBy>Grimm</cp:lastModifiedBy>
  <dcterms:modified xsi:type="dcterms:W3CDTF">2022-05-11T03:08:27Z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5A0AD4034E6548EC87BAC5584296C61B</vt:lpwstr>
  </property>
</Properties>
</file>